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5"/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pStyle w:val="865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65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65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65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65"/>
        <w:jc w:val="right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  <w:t xml:space="preserve">Приложение №1 к Документации о закупке</w:t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65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65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65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65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65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65"/>
        <w:jc w:val="center"/>
        <w:keepLines/>
        <w:keepNext/>
        <w:rPr>
          <w:rFonts w:eastAsia="Calibri"/>
          <w:b/>
          <w:bCs/>
          <w:sz w:val="26"/>
          <w:szCs w:val="26"/>
          <w:highlight w:val="none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  <w:highlight w:val="none"/>
        </w:rPr>
      </w:r>
      <w:r>
        <w:rPr>
          <w:rFonts w:eastAsia="Calibri"/>
          <w:b/>
          <w:bCs/>
          <w:sz w:val="26"/>
          <w:szCs w:val="26"/>
          <w:highlight w:val="none"/>
        </w:rPr>
      </w:r>
    </w:p>
    <w:p>
      <w:pPr>
        <w:pStyle w:val="865"/>
        <w:jc w:val="center"/>
        <w:keepLines/>
        <w:keepNext/>
        <w:rPr>
          <w:rFonts w:eastAsia="Calibri"/>
          <w:b/>
          <w:bCs/>
          <w:sz w:val="28"/>
          <w:szCs w:val="28"/>
          <w:highlight w:val="none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поставку продукции </w:t>
      </w:r>
      <w:r>
        <w:rPr>
          <w:rFonts w:eastAsia="Calibri"/>
          <w:b/>
          <w:bCs/>
          <w:sz w:val="28"/>
          <w:szCs w:val="28"/>
          <w:highlight w:val="none"/>
        </w:rPr>
      </w:r>
      <w:r>
        <w:rPr>
          <w:rFonts w:eastAsia="Calibri"/>
          <w:b/>
          <w:bCs/>
          <w:sz w:val="28"/>
          <w:szCs w:val="28"/>
          <w:highlight w:val="none"/>
        </w:rPr>
      </w:r>
    </w:p>
    <w:p>
      <w:pPr>
        <w:pStyle w:val="865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65"/>
        <w:jc w:val="center"/>
        <w:keepLines/>
        <w:keepNext/>
        <w:rPr>
          <w:rFonts w:eastAsia="Calibri"/>
          <w:b w:val="0"/>
          <w:bCs w:val="0"/>
          <w:sz w:val="28"/>
          <w:szCs w:val="28"/>
          <w14:ligatures w14:val="none"/>
        </w:rPr>
      </w:pPr>
      <w:r>
        <w:rPr>
          <w:rFonts w:eastAsia="Calibri"/>
          <w:b w:val="0"/>
          <w:bCs w:val="0"/>
          <w:sz w:val="28"/>
          <w:szCs w:val="28"/>
        </w:rPr>
        <w:t xml:space="preserve">«</w:t>
      </w:r>
      <w:r>
        <w:rPr>
          <w:rFonts w:eastAsia="Calibri"/>
          <w:b w:val="0"/>
          <w:bCs w:val="0"/>
          <w:sz w:val="24"/>
          <w:szCs w:val="24"/>
        </w:rPr>
        <w:t xml:space="preserve">ОКПД2</w:t>
      </w:r>
      <w:r>
        <w:rPr>
          <w:rFonts w:eastAsia="Calibri"/>
          <w:b w:val="0"/>
          <w:bCs w:val="0"/>
          <w:sz w:val="28"/>
          <w:szCs w:val="28"/>
        </w:rPr>
        <w:t xml:space="preserve"> </w:t>
      </w:r>
      <w:r>
        <w:rPr>
          <w:sz w:val="24"/>
          <w:szCs w:val="24"/>
        </w:rPr>
        <w:t xml:space="preserve">26.40.33.190 </w:t>
      </w:r>
      <w:r>
        <w:rPr>
          <w:sz w:val="24"/>
          <w:szCs w:val="24"/>
        </w:rPr>
        <w:t xml:space="preserve">Покупка оборудования и материалов видеофиксации работы подрядных организаций для АО «ДГК» в Хабаровском крае, Приморском крае, Амурской области, р. Саха (Якутия), ЕАО</w:t>
      </w:r>
      <w:r>
        <w:rPr>
          <w:rFonts w:eastAsia="Calibri"/>
          <w:b w:val="0"/>
          <w:bCs w:val="0"/>
          <w:sz w:val="28"/>
          <w:szCs w:val="28"/>
        </w:rPr>
        <w:t xml:space="preserve">» </w:t>
      </w:r>
      <w:r>
        <w:rPr>
          <w:rFonts w:eastAsia="Calibri"/>
          <w:b w:val="0"/>
          <w:bCs w:val="0"/>
          <w:sz w:val="28"/>
          <w:szCs w:val="28"/>
          <w14:ligatures w14:val="none"/>
        </w:rPr>
      </w:r>
      <w:r>
        <w:rPr>
          <w:rFonts w:eastAsia="Calibri"/>
          <w:b w:val="0"/>
          <w:bCs w:val="0"/>
          <w:sz w:val="28"/>
          <w:szCs w:val="28"/>
          <w14:ligatures w14:val="none"/>
        </w:rPr>
      </w:r>
    </w:p>
    <w:p>
      <w:pPr>
        <w:pStyle w:val="865"/>
        <w:jc w:val="center"/>
        <w:keepLines/>
        <w:keepNext/>
        <w:rPr>
          <w:rFonts w:eastAsia="Calibri"/>
          <w:b w:val="0"/>
          <w:bCs w:val="0"/>
          <w:sz w:val="28"/>
          <w:szCs w:val="28"/>
          <w14:ligatures w14:val="none"/>
        </w:rPr>
      </w:pPr>
      <w:r>
        <w:rPr>
          <w:rFonts w:eastAsia="Calibri"/>
          <w:b w:val="0"/>
          <w:bCs w:val="0"/>
          <w:sz w:val="28"/>
          <w:szCs w:val="28"/>
          <w14:ligatures w14:val="none"/>
        </w:rPr>
      </w:r>
      <w:r>
        <w:rPr>
          <w:rFonts w:eastAsia="Calibri"/>
          <w:b w:val="0"/>
          <w:bCs w:val="0"/>
          <w:sz w:val="28"/>
          <w:szCs w:val="28"/>
          <w14:ligatures w14:val="none"/>
        </w:rPr>
      </w:r>
      <w:r>
        <w:rPr>
          <w:rFonts w:eastAsia="Calibri"/>
          <w:b w:val="0"/>
          <w:bCs w:val="0"/>
          <w:sz w:val="28"/>
          <w:szCs w:val="28"/>
          <w14:ligatures w14:val="none"/>
        </w:rPr>
      </w:r>
    </w:p>
    <w:p>
      <w:pPr>
        <w:pStyle w:val="865"/>
        <w:jc w:val="center"/>
        <w:keepLines/>
        <w:keepNext/>
        <w:rPr>
          <w:rFonts w:eastAsia="Calibri"/>
          <w:b w:val="0"/>
          <w:bCs w:val="0"/>
          <w:sz w:val="28"/>
          <w:szCs w:val="28"/>
          <w:highlight w:val="none"/>
          <w14:ligatures w14:val="none"/>
        </w:rPr>
      </w:pPr>
      <w:r>
        <w:rPr>
          <w:rFonts w:eastAsia="Calibri"/>
          <w:b w:val="0"/>
          <w:bCs w:val="0"/>
          <w:sz w:val="28"/>
          <w:szCs w:val="28"/>
        </w:rPr>
        <w:t xml:space="preserve">(Лот № </w:t>
      </w:r>
      <w:r>
        <w:rPr>
          <w:rFonts w:eastAsia="Calibri"/>
          <w:b w:val="0"/>
          <w:bCs w:val="0"/>
          <w:sz w:val="28"/>
          <w:szCs w:val="28"/>
        </w:rPr>
        <w:t xml:space="preserve">32007041-ЭКСП ДИТ-2026-ДГК</w:t>
      </w:r>
      <w:r>
        <w:rPr>
          <w:rFonts w:eastAsia="Calibri"/>
          <w:b w:val="0"/>
          <w:bCs w:val="0"/>
          <w:sz w:val="28"/>
          <w:szCs w:val="28"/>
        </w:rPr>
        <w:t xml:space="preserve">)</w:t>
      </w:r>
      <w:r>
        <w:rPr>
          <w:rFonts w:eastAsia="Calibri"/>
          <w:b w:val="0"/>
          <w:bCs w:val="0"/>
          <w:sz w:val="28"/>
          <w:szCs w:val="28"/>
          <w:highlight w:val="none"/>
          <w14:ligatures w14:val="none"/>
        </w:rPr>
      </w:r>
      <w:r>
        <w:rPr>
          <w:rFonts w:eastAsia="Calibri"/>
          <w:b w:val="0"/>
          <w:bCs w:val="0"/>
          <w:sz w:val="28"/>
          <w:szCs w:val="28"/>
          <w:highlight w:val="none"/>
          <w14:ligatures w14:val="none"/>
        </w:rPr>
      </w:r>
    </w:p>
    <w:p>
      <w:pPr>
        <w:pStyle w:val="865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65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65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65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65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65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65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65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65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65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65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65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65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65"/>
        <w:numPr>
          <w:ilvl w:val="0"/>
          <w:numId w:val="0"/>
        </w:numPr>
        <w:ind w:left="0" w:firstLine="0"/>
        <w:jc w:val="center"/>
        <w:keepLines/>
        <w:keepNext/>
        <w:rPr>
          <w:b/>
          <w:bCs/>
          <w:highlight w:val="none"/>
        </w:rPr>
      </w:pPr>
      <w:r>
        <w:rPr>
          <w:b/>
          <w:bCs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W w:w="10064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66"/>
        <w:gridCol w:w="9497"/>
      </w:tblGrid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6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СОДЕРЖАНИЕ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65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1.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Общие сведения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1.1. </w:t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Обозначения и сокращения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1.2.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Наименование закупаемой продукции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1.2.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Цель использования закупаемой продукции 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1.3.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Существующее положение 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  <w:lang w:val="ru-RU" w:eastAsia="ru-RU" w:bidi="ar-SA"/>
              </w:rPr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  <w:lang w:val="ru-RU" w:eastAsia="ru-RU" w:bidi="ar-SA"/>
              </w:rPr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>
          <w:trHeight w:val="44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2.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Требования к продукции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2.1.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Требования к объемам и срокам поставки,требования к продукции 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63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Таблица 1.1 Перечень и объем закупаемой продукции, требования к продукции 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63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Таблица 1.2 Перечень и объем закупаемых сопутствующих услуг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63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2.1.2.     Требования к срокам поставки продукции 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63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Таблица 2.1 Требования по срокам поставки продукции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63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Таблица 2.2 Требования по срокам оказания сопутствующих услуг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63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Таблица 3. Требования к продукции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>
          <w:trHeight w:val="567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63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3. </w:t>
            </w: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Требования к документации по ценообразованию на этапе закупки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63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4. </w:t>
            </w: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063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bCs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8"/>
                <w:szCs w:val="28"/>
                <w:u w:val="none"/>
                <w:vertAlign w:val="baseline"/>
                <w:lang w:val="ru-RU" w:eastAsia="ru-RU" w:bidi="ar-SA"/>
              </w:rPr>
              <w:t xml:space="preserve">5. </w:t>
            </w: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Приложения </w:t>
            </w:r>
            <w:r>
              <w:rPr>
                <w:bCs/>
                <w:i/>
                <w:sz w:val="28"/>
                <w:szCs w:val="28"/>
              </w:rPr>
            </w:r>
            <w:r>
              <w:rPr>
                <w:bCs/>
                <w:i/>
                <w:sz w:val="28"/>
                <w:szCs w:val="28"/>
              </w:rPr>
            </w:r>
          </w:p>
        </w:tc>
      </w:tr>
    </w:tbl>
    <w:p>
      <w:pPr>
        <w:pStyle w:val="865"/>
      </w:pPr>
      <w:r/>
      <w:r/>
    </w:p>
    <w:p>
      <w:pPr>
        <w:pStyle w:val="865"/>
      </w:pPr>
      <w:r/>
      <w:r/>
    </w:p>
    <w:p>
      <w:pPr>
        <w:pStyle w:val="982"/>
        <w:numPr>
          <w:ilvl w:val="0"/>
          <w:numId w:val="8"/>
        </w:numPr>
        <w:ind w:left="0" w:right="0" w:firstLine="0"/>
        <w:jc w:val="left"/>
        <w:keepLines/>
        <w:keepNext/>
        <w:rPr>
          <w:b/>
          <w:bCs/>
          <w:sz w:val="26"/>
          <w:szCs w:val="26"/>
          <w:highlight w:val="none"/>
        </w:rPr>
      </w:pPr>
      <w:r>
        <w:rPr>
          <w:b/>
          <w:sz w:val="24"/>
          <w:szCs w:val="24"/>
        </w:rPr>
        <w:t xml:space="preserve">Общие сведения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Style w:val="865"/>
        <w:ind w:left="0" w:right="0" w:firstLine="0"/>
        <w:jc w:val="left"/>
        <w:keepLines/>
        <w:keepNext/>
        <w:rPr>
          <w:b/>
          <w:bCs/>
          <w:sz w:val="26"/>
          <w:szCs w:val="26"/>
          <w:highlight w:val="none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Style w:val="869"/>
        <w:numPr>
          <w:ilvl w:val="1"/>
          <w:numId w:val="3"/>
        </w:numPr>
        <w:rPr>
          <w:sz w:val="24"/>
          <w:szCs w:val="24"/>
        </w:rPr>
      </w:pPr>
      <w:r>
        <w:rPr>
          <w:rFonts w:eastAsia="Times New Roman" w:cs="Times New Roman"/>
          <w:b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  <w:t xml:space="preserve">Обозначения и сокращения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5"/>
      </w:pPr>
      <w:r/>
      <w:r/>
    </w:p>
    <w:tbl>
      <w:tblPr>
        <w:tblW w:w="14984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4"/>
        <w:gridCol w:w="13199"/>
      </w:tblGrid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4" w:type="dxa"/>
            <w:textDirection w:val="lrTb"/>
            <w:noWrap w:val="false"/>
          </w:tcPr>
          <w:p>
            <w:pPr>
              <w:pStyle w:val="86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ПП РФ № 719</w:t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9" w:type="dxa"/>
            <w:textDirection w:val="lrTb"/>
            <w:noWrap w:val="false"/>
          </w:tcPr>
          <w:p>
            <w:pPr>
              <w:pStyle w:val="865"/>
              <w:jc w:val="left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 w:val="0"/>
                <w:iCs/>
                <w:caps w:val="0"/>
                <w:small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Постановление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4" w:type="dxa"/>
            <w:textDirection w:val="lrTb"/>
            <w:noWrap w:val="false"/>
          </w:tcPr>
          <w:p>
            <w:pPr>
              <w:pStyle w:val="865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ПП РФ № 1875</w:t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9" w:type="dxa"/>
            <w:textDirection w:val="lrTb"/>
            <w:noWrap w:val="false"/>
          </w:tcPr>
          <w:p>
            <w:pPr>
              <w:pStyle w:val="865"/>
              <w:jc w:val="left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/>
                <w:i w:val="0"/>
                <w:iCs/>
                <w:caps w:val="0"/>
                <w:small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Постановление Правительства Российск</w:t>
            </w:r>
            <w:r>
              <w:rPr>
                <w:rFonts w:eastAsia="Times New Roman" w:cs="Times New Roman"/>
                <w:b w:val="0"/>
                <w:bCs/>
                <w:i w:val="0"/>
                <w:iCs/>
                <w:caps w:val="0"/>
                <w:small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869"/>
        <w:numPr>
          <w:ilvl w:val="1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Наименование закупаемой продукции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5"/>
        <w:rPr>
          <w:highlight w:val="none"/>
        </w:rPr>
      </w:pPr>
      <w:r>
        <w:rPr>
          <w:sz w:val="24"/>
          <w:szCs w:val="24"/>
        </w:rPr>
        <w:t xml:space="preserve">«ОКПД2 26.40.33.190 Покупка оборудования и материалов видеофиксации работы подрядных организаций для АО «ДГК» в Хабаровском крае, Приморском крае, Амурской области, р. Саха (Якутия), ЕАО»</w:t>
      </w:r>
      <w:r>
        <w:rPr>
          <w:highlight w:val="none"/>
        </w:rPr>
      </w:r>
      <w:r>
        <w:rPr>
          <w:highlight w:val="none"/>
        </w:rPr>
      </w:r>
    </w:p>
    <w:p>
      <w:pPr>
        <w:pStyle w:val="865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pStyle w:val="865"/>
        <w:jc w:val="both"/>
        <w:keepLines/>
        <w:keepNext/>
        <w:rPr>
          <w:rFonts w:eastAsia="Calibri"/>
          <w:b w:val="0"/>
          <w:bCs w:val="0"/>
          <w:sz w:val="24"/>
          <w:szCs w:val="24"/>
          <w:highlight w:val="none"/>
          <w14:ligatures w14:val="none"/>
        </w:rPr>
      </w:pP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</w:rPr>
        <w:t xml:space="preserve">1.3. </w:t>
      </w:r>
      <w:r>
        <w:rPr>
          <w:rFonts w:eastAsia="Times New Roman" w:cs="Times New Roman"/>
          <w:b/>
          <w:i w:val="0"/>
          <w:strike w:val="0"/>
          <w:color w:val="000000"/>
          <w:position w:val="0"/>
          <w:sz w:val="24"/>
          <w:u w:val="none"/>
          <w:vertAlign w:val="baseline"/>
        </w:rPr>
        <w:t xml:space="preserve">Цель использования закупаемой продукции </w:t>
      </w:r>
      <w:r>
        <w:rPr>
          <w:rFonts w:eastAsia="Calibri"/>
          <w:b w:val="0"/>
          <w:bCs w:val="0"/>
          <w:sz w:val="24"/>
          <w:szCs w:val="24"/>
          <w:highlight w:val="none"/>
          <w14:ligatures w14:val="none"/>
        </w:rPr>
      </w:r>
      <w:r>
        <w:rPr>
          <w:rFonts w:eastAsia="Calibri"/>
          <w:b w:val="0"/>
          <w:bCs w:val="0"/>
          <w:sz w:val="24"/>
          <w:szCs w:val="24"/>
          <w:highlight w:val="none"/>
          <w14:ligatures w14:val="none"/>
        </w:rPr>
      </w:r>
    </w:p>
    <w:p>
      <w:pPr>
        <w:pStyle w:val="865"/>
        <w:jc w:val="both"/>
        <w:keepLines/>
        <w:keepNext/>
      </w:pPr>
      <w:r>
        <w:rPr>
          <w:rFonts w:eastAsia="Calibri"/>
          <w:b w:val="0"/>
          <w:bCs w:val="0"/>
          <w:sz w:val="24"/>
          <w:szCs w:val="24"/>
          <w14:ligatures w14:val="none"/>
        </w:rPr>
        <w:t xml:space="preserve">Применения видеофиксации при проведении вводного инструктажа по охране труда, при первичном допуске при передаче оборудования, территории по акту-допуску подрядным организациям.</w:t>
      </w:r>
      <w:r/>
    </w:p>
    <w:p>
      <w:pPr>
        <w:pStyle w:val="866"/>
        <w:numPr>
          <w:ilvl w:val="0"/>
          <w:numId w:val="3"/>
        </w:numPr>
        <w:ind w:left="357" w:hanging="357"/>
        <w:jc w:val="both"/>
        <w:keepLines/>
        <w:rPr>
          <w:iCs/>
          <w:caps/>
          <w:sz w:val="24"/>
          <w:szCs w:val="24"/>
        </w:rPr>
      </w:pPr>
      <w:r/>
      <w:bookmarkStart w:id="0" w:name="_Toc75446573"/>
      <w:r/>
      <w:bookmarkStart w:id="1" w:name="_Toc51339693"/>
      <w:r>
        <w:rPr>
          <w:iCs/>
          <w:sz w:val="24"/>
          <w:szCs w:val="24"/>
        </w:rPr>
        <w:t xml:space="preserve">Требования к продукции</w:t>
      </w:r>
      <w:bookmarkEnd w:id="0"/>
      <w:r/>
      <w:bookmarkEnd w:id="1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869"/>
        <w:numPr>
          <w:ilvl w:val="1"/>
          <w:numId w:val="3"/>
        </w:numPr>
        <w:jc w:val="both"/>
        <w:rPr>
          <w:sz w:val="24"/>
          <w:szCs w:val="24"/>
        </w:rPr>
      </w:pPr>
      <w:r/>
      <w:bookmarkStart w:id="2" w:name="_Toc75446574"/>
      <w:r>
        <w:rPr>
          <w:sz w:val="24"/>
          <w:szCs w:val="24"/>
        </w:rPr>
        <w:t xml:space="preserve">Требования к объемам и срокам поставки</w:t>
      </w:r>
      <w:bookmarkEnd w:id="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8"/>
        <w:numPr>
          <w:ilvl w:val="2"/>
          <w:numId w:val="3"/>
        </w:numPr>
        <w:ind w:left="0" w:firstLine="0"/>
        <w:jc w:val="both"/>
        <w:rPr>
          <w:sz w:val="24"/>
          <w:szCs w:val="24"/>
        </w:rPr>
      </w:pPr>
      <w:r/>
      <w:bookmarkStart w:id="3" w:name="_Toc75446575"/>
      <w:r>
        <w:rPr>
          <w:sz w:val="24"/>
          <w:szCs w:val="24"/>
        </w:rPr>
        <w:t xml:space="preserve">Перечень и объем закупаемой продукции</w:t>
      </w:r>
      <w:bookmarkEnd w:id="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5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</w:rPr>
        <w:t xml:space="preserve">Перечень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необходимой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к поставке продукции, функциональные характеристики (потребительские свойства), количественные, качественные характеристики продукции и место поставки приведены в  Приложении №1 и Приложении № 2 к настоящим Техническим требованиям.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65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65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65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65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65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68"/>
        <w:numPr>
          <w:ilvl w:val="2"/>
          <w:numId w:val="3"/>
        </w:numPr>
        <w:ind w:left="0" w:firstLine="0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pPr>
      <w:r/>
      <w:bookmarkStart w:id="4" w:name="_Toc75446578"/>
      <w:r/>
      <w:bookmarkStart w:id="5" w:name="_Toc51339696"/>
      <w:r>
        <w:t xml:space="preserve">Требования </w:t>
      </w:r>
      <w:bookmarkEnd w:id="5"/>
      <w:r>
        <w:t xml:space="preserve">к срокам поставки продукции</w:t>
      </w:r>
      <w:bookmarkEnd w:id="4"/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</w:p>
    <w:p>
      <w:pPr>
        <w:pStyle w:val="866"/>
        <w:numPr>
          <w:ilvl w:val="0"/>
          <w:numId w:val="0"/>
        </w:numPr>
        <w:ind w:left="0" w:firstLine="0"/>
        <w:rPr>
          <w:b/>
          <w:bCs/>
        </w:rPr>
      </w:pPr>
      <w:r>
        <w:rPr>
          <w:rFonts w:eastAsia="Times New Roman" w:cs="Times New Roman"/>
          <w:b/>
          <w:bCs/>
          <w:i w:val="0"/>
          <w:strike w:val="0"/>
          <w:color w:val="000000"/>
          <w:position w:val="0"/>
          <w:sz w:val="24"/>
          <w:u w:val="none"/>
          <w:vertAlign w:val="baseline"/>
        </w:rPr>
        <w:t xml:space="preserve">Таблица 2.1 Требования по срокам поставки продукции</w:t>
      </w:r>
      <w:r>
        <w:rPr>
          <w:b/>
          <w:bCs/>
        </w:rPr>
      </w:r>
      <w:r>
        <w:rPr>
          <w:b/>
          <w:bCs/>
        </w:rPr>
      </w:r>
    </w:p>
    <w:tbl>
      <w:tblPr>
        <w:tblW w:w="1502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3"/>
        <w:gridCol w:w="7370"/>
        <w:gridCol w:w="2126"/>
        <w:gridCol w:w="4535"/>
      </w:tblGrid>
      <w:tr>
        <w:tblPrEx/>
        <w:trPr>
          <w:trHeight w:val="82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1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2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98"/>
              <w:ind w:left="0" w:right="0" w:firstLine="0"/>
              <w:jc w:val="center"/>
              <w:keepNext w:val="0"/>
              <w:spacing w:before="0" w:after="0"/>
              <w:widowControl w:val="off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3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textDirection w:val="lrTb"/>
            <w:noWrap w:val="false"/>
          </w:tcPr>
          <w:p>
            <w:pPr>
              <w:pStyle w:val="998"/>
              <w:ind w:left="0" w:right="0" w:firstLine="0"/>
              <w:jc w:val="center"/>
              <w:keepNext w:val="0"/>
              <w:spacing w:before="0" w:after="0"/>
              <w:widowControl w:val="off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4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</w:tr>
      <w:tr>
        <w:tblPrEx/>
        <w:trPr>
          <w:trHeight w:val="145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982"/>
              <w:numPr>
                <w:ilvl w:val="0"/>
                <w:numId w:val="6"/>
              </w:numPr>
              <w:ind w:left="0" w:hanging="360"/>
              <w:jc w:val="center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keepLines/>
              <w:keepNext/>
              <w:widowControl w:val="off"/>
              <w:rPr>
                <w:b/>
                <w:bCs/>
                <w:sz w:val="26"/>
                <w:szCs w:val="26"/>
                <w14:ligatures w14:val="none"/>
              </w:rPr>
            </w:pPr>
            <w:r>
              <w:rPr>
                <w:sz w:val="24"/>
                <w:szCs w:val="24"/>
              </w:rPr>
              <w:t xml:space="preserve">Продукция по лоту «</w:t>
            </w:r>
            <w:r>
              <w:rPr>
                <w:sz w:val="24"/>
                <w:szCs w:val="24"/>
              </w:rPr>
              <w:t xml:space="preserve">ОКПД2 26.40.33.190 Поставка оборудования и материалов видеофиксации работы подрядных организаций для АО «ДГК» в Хабаровском крае, Приморском крае, Амурской области, р. Саха (Якутия), ЕАО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</w:pPr>
            <w:r>
              <w:rPr>
                <w:sz w:val="24"/>
                <w:szCs w:val="24"/>
              </w:rPr>
              <w:t xml:space="preserve">с даты заключения договора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textDirection w:val="lrTb"/>
            <w:noWrap w:val="false"/>
          </w:tcPr>
          <w:p>
            <w:pPr>
              <w:pStyle w:val="865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90 (</w:t>
            </w:r>
            <w:r>
              <w:rPr>
                <w:sz w:val="24"/>
                <w:szCs w:val="24"/>
              </w:rPr>
              <w:t xml:space="preserve">девяносто</w:t>
            </w:r>
            <w:r>
              <w:rPr>
                <w:sz w:val="24"/>
                <w:szCs w:val="24"/>
              </w:rPr>
              <w:t xml:space="preserve">) календарных дней с даты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142" w:right="0" w:firstLine="0"/>
        <w:jc w:val="both"/>
        <w:rPr>
          <w:highlight w:val="none"/>
        </w:rPr>
      </w:pPr>
      <w:r/>
      <w:bookmarkStart w:id="0" w:name="undefined"/>
      <w:r/>
      <w:bookmarkEnd w:id="0"/>
      <w:r>
        <w:rPr>
          <w:b/>
          <w:bCs/>
          <w:sz w:val="24"/>
          <w:szCs w:val="24"/>
          <w:highlight w:val="yellow"/>
          <w:lang w:val="ru-RU"/>
        </w:rPr>
        <w:t xml:space="preserve">Внимание!</w:t>
      </w:r>
      <w:r>
        <w:rPr>
          <w:sz w:val="24"/>
          <w:szCs w:val="24"/>
          <w:highlight w:val="none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 xml:space="preserve">Сроки поставки продукции указываются Участником в Календарном графике (форма 5) (Приложение №4 к ДоЗ-ОБРАЗЦЫ ФОРМ ДОКУМЕНТОВ) в составе первой части заявки.</w:t>
      </w:r>
      <w:r>
        <w:rPr>
          <w:highlight w:val="none"/>
        </w:rPr>
      </w:r>
      <w:r>
        <w:rPr>
          <w:highlight w:val="none"/>
        </w:rPr>
      </w:r>
    </w:p>
    <w:p>
      <w:pPr>
        <w:pStyle w:val="865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pP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</w:p>
    <w:p>
      <w:pPr>
        <w:pStyle w:val="865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pP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</w:p>
    <w:p>
      <w:pPr>
        <w:pStyle w:val="865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pP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</w:p>
    <w:p>
      <w:pPr>
        <w:pStyle w:val="866"/>
        <w:numPr>
          <w:ilvl w:val="0"/>
          <w:numId w:val="0"/>
        </w:numPr>
        <w:rPr>
          <w:sz w:val="24"/>
          <w:szCs w:val="24"/>
        </w:rPr>
      </w:pPr>
      <w:r/>
      <w:bookmarkStart w:id="0" w:name="undefined"/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0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124"/>
        <w:gridCol w:w="2551"/>
        <w:gridCol w:w="6094"/>
        <w:gridCol w:w="2126"/>
      </w:tblGrid>
      <w:tr>
        <w:tblPrEx/>
        <w:trPr/>
        <w:tc>
          <w:tcPr>
            <w:shd w:val="clear" w:color="ffffff" w:fill="ffffff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1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9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094" w:type="dxa"/>
            <w:vAlign w:val="center"/>
            <w:textDirection w:val="lrTb"/>
            <w:noWrap w:val="false"/>
          </w:tcPr>
          <w:p>
            <w:pPr>
              <w:pStyle w:val="99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998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12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98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094" w:type="dxa"/>
            <w:textDirection w:val="lrTb"/>
            <w:noWrap w:val="false"/>
          </w:tcPr>
          <w:p>
            <w:pPr>
              <w:pStyle w:val="998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998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3124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Услуги по сборке щкафа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с даты </w:t>
            </w:r>
            <w:r>
              <w:rPr>
                <w:i/>
                <w:iCs/>
                <w:sz w:val="24"/>
                <w:szCs w:val="24"/>
              </w:rPr>
              <w:t xml:space="preserve">поставки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6094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Не позднее 5 календарных </w:t>
            </w:r>
            <w:r>
              <w:rPr>
                <w:i/>
                <w:iCs/>
                <w:sz w:val="24"/>
                <w:szCs w:val="24"/>
              </w:rPr>
              <w:t xml:space="preserve">дней с даты </w:t>
            </w:r>
            <w:r>
              <w:rPr>
                <w:i/>
                <w:iCs/>
                <w:sz w:val="24"/>
                <w:szCs w:val="24"/>
              </w:rPr>
              <w:t xml:space="preserve">поставки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/>
            <w:r/>
          </w:p>
        </w:tc>
      </w:tr>
    </w:tbl>
    <w:p>
      <w:pPr>
        <w:ind w:left="142" w:right="0" w:firstLine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b/>
          <w:bCs/>
          <w:sz w:val="24"/>
          <w:szCs w:val="24"/>
          <w:highlight w:val="yellow"/>
          <w:lang w:val="ru-RU"/>
        </w:rPr>
        <w:t xml:space="preserve">Внимание!</w:t>
      </w:r>
      <w:r>
        <w:rPr>
          <w:sz w:val="24"/>
          <w:szCs w:val="24"/>
          <w:highlight w:val="none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 xml:space="preserve">Сроки оказания услуг  указываются Участником в Календарном графике (форма 5) (Приложение №4 к ДоЗ-ОБРАЗЦЫ ФОРМ ДОКУМЕНТОВ) в составе первой части заявки.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65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pP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</w:p>
    <w:p>
      <w:pPr>
        <w:pStyle w:val="865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pP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</w:p>
    <w:p>
      <w:pPr>
        <w:pStyle w:val="865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pP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</w:p>
    <w:p>
      <w:pPr>
        <w:pStyle w:val="865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pP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</w:p>
    <w:p>
      <w:pPr>
        <w:pStyle w:val="865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pP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</w:p>
    <w:p>
      <w:pPr>
        <w:pStyle w:val="865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pP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</w:p>
    <w:p>
      <w:pPr>
        <w:pStyle w:val="865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pP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</w:p>
    <w:p>
      <w:pPr>
        <w:pStyle w:val="865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pPr>
      <w:r>
        <w:rPr>
          <w:rFonts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position w:val="0"/>
          <w:sz w:val="24"/>
          <w:szCs w:val="24"/>
          <w:highlight w:val="none"/>
          <w:u w:val="none"/>
          <w:vertAlign w:val="baseline"/>
        </w:rPr>
      </w:r>
    </w:p>
    <w:tbl>
      <w:tblPr>
        <w:tblW w:w="15285" w:type="dxa"/>
        <w:tblInd w:w="-14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85"/>
      </w:tblGrid>
      <w:tr>
        <w:tblPrEx/>
        <w:trPr>
          <w:trHeight w:val="3013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15285" w:type="dxa"/>
            <w:vAlign w:val="center"/>
            <w:textDirection w:val="lrTb"/>
            <w:noWrap w:val="false"/>
          </w:tcPr>
          <w:p>
            <w:pPr>
              <w:pStyle w:val="866"/>
              <w:numPr>
                <w:ilvl w:val="0"/>
                <w:numId w:val="0"/>
              </w:numPr>
              <w:ind w:left="142" w:right="-86" w:firstLine="0"/>
              <w:jc w:val="both"/>
              <w:spacing w:before="12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Таблица 3. Дополнительные требования к продукции 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tbl>
            <w:tblPr>
              <w:tblW w:w="15024" w:type="dxa"/>
              <w:tblInd w:w="34" w:type="dxa"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656"/>
              <w:gridCol w:w="4820"/>
              <w:gridCol w:w="51"/>
              <w:gridCol w:w="2784"/>
              <w:gridCol w:w="50"/>
              <w:gridCol w:w="1832"/>
              <w:gridCol w:w="11"/>
              <w:gridCol w:w="2398"/>
              <w:gridCol w:w="11"/>
              <w:gridCol w:w="2410"/>
            </w:tblGrid>
            <w:tr>
              <w:tblPrEx/>
              <w:trPr>
                <w:trHeight w:val="505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ru-RU" w:eastAsia="ru-RU" w:bidi="ar-SA"/>
                    </w:rPr>
                    <w:t xml:space="preserve">№ </w:t>
                  </w:r>
                  <w:r>
                    <w:rPr>
                      <w:b/>
                      <w:bCs/>
                      <w:sz w:val="24"/>
                      <w:szCs w:val="24"/>
                      <w:lang w:val="ru-RU" w:eastAsia="ru-RU" w:bidi="ar-SA"/>
                    </w:rPr>
                    <w:t xml:space="preserve">п/п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820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ru-RU" w:eastAsia="ru-RU" w:bidi="ar-SA"/>
                    </w:rPr>
                    <w:t xml:space="preserve">Наименование параметра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3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ru-RU" w:eastAsia="ru-RU" w:bidi="ar-SA"/>
                    </w:rPr>
                    <w:t xml:space="preserve">Требование заказчика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291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ru-RU" w:eastAsia="ru-RU" w:bidi="ar-SA"/>
                    </w:rPr>
                    <w:t xml:space="preserve">Способ подтверждения участником соответствия требованиям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865"/>
                    <w:ind w:left="0" w:right="34" w:firstLine="0"/>
                    <w:jc w:val="center"/>
                    <w:spacing w:before="0" w:after="0"/>
                    <w:widowControl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ru-RU" w:eastAsia="ru-RU" w:bidi="ar-SA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1261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820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36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left w:val="single" w:color="000000" w:sz="4" w:space="0"/>
                  </w:tcBorders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ru-RU" w:eastAsia="ru-RU" w:bidi="ar-SA"/>
                    </w:rPr>
                    <w:t xml:space="preserve">Согласие с требованием/ указание характеристик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gridSpan w:val="2"/>
                  <w:tcBorders>
                    <w:right w:val="single" w:color="000000" w:sz="4" w:space="0"/>
                  </w:tcBorders>
                  <w:tcW w:w="2409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ru-RU" w:eastAsia="ru-RU" w:bidi="ar-SA"/>
                    </w:rPr>
                    <w:t xml:space="preserve">Предоставление подтверждающего документа или иной способ подтверждения</w:t>
                  </w:r>
                  <w:r>
                    <w:rPr>
                      <w:b/>
                      <w:bCs/>
                      <w:sz w:val="24"/>
                      <w:szCs w:val="24"/>
                      <w:highlight w:val="none"/>
                    </w:rPr>
                  </w:r>
                  <w:r>
                    <w:rPr>
                      <w:b/>
                      <w:bCs/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lang w:val="ru-RU" w:eastAsia="ru-RU" w:bidi="ar-SA"/>
                    </w:rPr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</w:tr>
            <w:tr>
              <w:tblPrEx/>
              <w:trPr>
                <w:trHeight w:val="304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60" w:after="60"/>
                    <w:widowControl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0"/>
                      <w:szCs w:val="24"/>
                      <w:lang w:val="ru-RU" w:eastAsia="ru-RU" w:bidi="ar-SA"/>
                    </w:rPr>
                    <w:t xml:space="preserve">1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820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0"/>
                      <w:szCs w:val="24"/>
                      <w:lang w:val="ru-RU" w:eastAsia="ru-RU" w:bidi="ar-SA"/>
                    </w:rPr>
                    <w:t xml:space="preserve">2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3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0"/>
                      <w:szCs w:val="24"/>
                      <w:lang w:val="ru-RU" w:eastAsia="ru-RU" w:bidi="ar-SA"/>
                    </w:rPr>
                    <w:t xml:space="preserve">3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0"/>
                      <w:szCs w:val="24"/>
                      <w:lang w:val="ru-RU" w:eastAsia="ru-RU" w:bidi="ar-SA"/>
                    </w:rPr>
                    <w:t xml:space="preserve">4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09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0"/>
                      <w:szCs w:val="24"/>
                      <w:lang w:val="ru-RU" w:eastAsia="ru-RU" w:bidi="ar-SA"/>
                    </w:rPr>
                    <w:t xml:space="preserve">5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0"/>
                      <w:szCs w:val="24"/>
                      <w:lang w:val="ru-RU" w:eastAsia="ru-RU" w:bidi="ar-SA"/>
                    </w:rPr>
                    <w:t xml:space="preserve">6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480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982"/>
                    <w:numPr>
                      <w:ilvl w:val="0"/>
                      <w:numId w:val="7"/>
                    </w:numPr>
                    <w:contextualSpacing/>
                    <w:jc w:val="center"/>
                    <w:spacing w:before="60" w:after="6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65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60" w:after="60"/>
                    <w:widowControl/>
                    <w:rPr>
                      <w:b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sz w:val="24"/>
                      <w:szCs w:val="24"/>
                      <w:lang w:val="ru-RU" w:eastAsia="ru-RU" w:bidi="ar-SA"/>
                    </w:rPr>
                    <w:t xml:space="preserve">Требования к безопасности</w:t>
                  </w:r>
                  <w:r>
                    <w:rPr>
                      <w:b/>
                      <w:bCs/>
                      <w:sz w:val="24"/>
                      <w:szCs w:val="24"/>
                      <w:highlight w:val="none"/>
                    </w:rPr>
                  </w:r>
                  <w:r>
                    <w:rPr>
                      <w:b/>
                      <w:bCs/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82" w:type="dxa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60" w:after="6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09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</w:tr>
            <w:tr>
              <w:tblPrEx/>
              <w:trPr>
                <w:trHeight w:val="2764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982"/>
                    <w:contextualSpacing/>
                    <w:ind w:left="0" w:right="0" w:firstLine="0"/>
                    <w:jc w:val="center"/>
                    <w:spacing w:before="60" w:after="6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  <w:t xml:space="preserve">1.1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820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60" w:after="6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Требования безо</w:t>
                  </w: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пасности, характеризующие конструктивно-технические особенности оборудования, обеспечивающие безопасность персонала, местного населения, сопрягаемых и других близко расположенных объектов, а также окружающей среды при эксплуатации и утилизации оборудования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3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60" w:after="6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Все поставляемое оборудование должно отвечать требованием Технического регламента таможенного союза ТР ТС 004/2011 “О безопасности низковольтного оборудования” от 16.08.2011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i/>
                      <w:iCs/>
                      <w:sz w:val="24"/>
                      <w:szCs w:val="24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09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eastAsia="ru-RU" w:bidi="ar-SA"/>
                    </w:rPr>
                  </w:pPr>
                  <w:r>
                    <w:rPr>
                      <w:sz w:val="24"/>
                      <w:szCs w:val="24"/>
                      <w:lang w:val="en-US" w:eastAsia="ru-RU" w:bidi="ar-SA"/>
                    </w:rPr>
                    <w:t xml:space="preserve">“</w:t>
                  </w:r>
                  <w:r>
                    <w:rPr>
                      <w:sz w:val="24"/>
                      <w:szCs w:val="24"/>
                      <w:lang w:val="en-US" w:eastAsia="ru-RU" w:bidi="ar-SA"/>
                    </w:rPr>
                    <w:t xml:space="preserve">-”</w:t>
                  </w:r>
                  <w:r>
                    <w:rPr>
                      <w:lang w:eastAsia="ru-RU" w:bidi="ar-SA"/>
                    </w:rPr>
                  </w:r>
                  <w:r>
                    <w:rPr>
                      <w:lang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color w:val="ff0000"/>
                    </w:rPr>
                  </w:pPr>
                  <w:r>
                    <w:rPr>
                      <w:color w:val="ff0000"/>
                      <w:lang w:val="ru-RU" w:eastAsia="ru-RU" w:bidi="ar-SA"/>
                    </w:rPr>
                  </w:r>
                  <w:r>
                    <w:rPr>
                      <w:color w:val="ff0000"/>
                    </w:rPr>
                  </w:r>
                  <w:r>
                    <w:rPr>
                      <w:color w:val="ff0000"/>
                    </w:rPr>
                  </w:r>
                </w:p>
              </w:tc>
            </w:tr>
            <w:tr>
              <w:tblPrEx/>
              <w:trPr>
                <w:trHeight w:val="441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ind w:left="0" w:right="0" w:firstLine="0"/>
                    <w:jc w:val="center"/>
                    <w:spacing w:before="60" w:after="60"/>
                    <w:widowControl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2.</w:t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65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60" w:after="60"/>
                    <w:widowControl/>
                    <w:rPr>
                      <w:b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sz w:val="24"/>
                      <w:szCs w:val="24"/>
                      <w:lang w:val="ru-RU" w:eastAsia="ru-RU" w:bidi="ar-SA"/>
                    </w:rPr>
                    <w:t xml:space="preserve">Прочие (дополнительные) требования к продукции:</w:t>
                  </w:r>
                  <w:r>
                    <w:rPr>
                      <w:b/>
                      <w:bCs/>
                      <w:sz w:val="24"/>
                      <w:szCs w:val="24"/>
                      <w:highlight w:val="none"/>
                    </w:rPr>
                  </w:r>
                  <w:r>
                    <w:rPr>
                      <w:b/>
                      <w:bCs/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82" w:type="dxa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60" w:after="6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09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</w:tr>
            <w:tr>
              <w:tblPrEx/>
              <w:trPr>
                <w:trHeight w:val="310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ind w:left="0" w:right="0" w:firstLine="0"/>
                    <w:jc w:val="center"/>
                    <w:spacing w:before="60" w:after="60"/>
                    <w:widowControl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2.1.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820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Требования к порядку поставки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3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contextualSpacing/>
                    <w:jc w:val="left"/>
                    <w:spacing w:before="0" w:after="0" w:line="276" w:lineRule="auto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  <w:t xml:space="preserve">Товар поставляется </w:t>
                  </w: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 в соответствии со Спецификацией к Договору. Поставщик обеспечивает доставку продукции до места поставки. </w:t>
                  </w: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Все поставляемое оборудование должно быть новым, не бывшим в употреблении, соответствовать требованиям технического задания и выпускаться серийно. 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i/>
                      <w:iCs/>
                      <w:sz w:val="24"/>
                      <w:szCs w:val="24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09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eastAsia="ru-RU" w:bidi="ar-SA"/>
                    </w:rPr>
                  </w:pPr>
                  <w:r>
                    <w:rPr>
                      <w:sz w:val="24"/>
                      <w:szCs w:val="24"/>
                      <w:lang w:val="en-US" w:eastAsia="ru-RU" w:bidi="ar-SA"/>
                    </w:rPr>
                    <w:t xml:space="preserve">“</w:t>
                  </w:r>
                  <w:r>
                    <w:rPr>
                      <w:sz w:val="24"/>
                      <w:szCs w:val="24"/>
                      <w:lang w:val="en-US" w:eastAsia="ru-RU" w:bidi="ar-SA"/>
                    </w:rPr>
                    <w:t xml:space="preserve">-”</w:t>
                  </w:r>
                  <w:r>
                    <w:rPr>
                      <w:lang w:eastAsia="ru-RU" w:bidi="ar-SA"/>
                    </w:rPr>
                  </w:r>
                  <w:r>
                    <w:rPr>
                      <w:lang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</w:tr>
            <w:tr>
              <w:tblPrEx/>
              <w:trPr>
                <w:trHeight w:val="816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ind w:left="0" w:right="0" w:firstLine="0"/>
                    <w:jc w:val="center"/>
                    <w:spacing w:before="60" w:after="60"/>
                    <w:widowControl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2.2.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820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Требования к году изготовления оборудования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3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both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Год изготовления – не ранее 2025 г.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i/>
                      <w:iCs/>
                      <w:sz w:val="24"/>
                      <w:szCs w:val="24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09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eastAsia="ru-RU" w:bidi="ar-SA"/>
                    </w:rPr>
                  </w:pPr>
                  <w:r>
                    <w:rPr>
                      <w:sz w:val="24"/>
                      <w:szCs w:val="24"/>
                      <w:lang w:val="en-US" w:eastAsia="ru-RU" w:bidi="ar-SA"/>
                    </w:rPr>
                    <w:t xml:space="preserve">“</w:t>
                  </w:r>
                  <w:r>
                    <w:rPr>
                      <w:sz w:val="24"/>
                      <w:szCs w:val="24"/>
                      <w:lang w:val="en-US" w:eastAsia="ru-RU" w:bidi="ar-SA"/>
                    </w:rPr>
                    <w:t xml:space="preserve">-”</w:t>
                  </w:r>
                  <w:r>
                    <w:rPr>
                      <w:lang w:eastAsia="ru-RU" w:bidi="ar-SA"/>
                    </w:rPr>
                  </w:r>
                  <w:r>
                    <w:rPr>
                      <w:lang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</w:tr>
            <w:tr>
              <w:tblPrEx/>
              <w:trPr>
                <w:trHeight w:val="1160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 xml:space="preserve">2.3</w:t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820" w:type="dxa"/>
                  <w:vAlign w:val="center"/>
                  <w:textDirection w:val="lrTb"/>
                  <w:noWrap w:val="false"/>
                </w:tcPr>
                <w:p>
                  <w:pPr>
                    <w:pStyle w:val="1015"/>
                    <w:ind w:firstLine="0"/>
                    <w:spacing w:before="0" w:line="240" w:lineRule="auto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ff0000"/>
                      <w:sz w:val="24"/>
                      <w:szCs w:val="24"/>
                      <w:highlight w:val="none"/>
                      <w:u w:val="single"/>
                      <w:lang w:eastAsia="ru-RU"/>
                    </w:rPr>
                    <w:t xml:space="preserve">Установлен режим ограничения закупки иностранной продукции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  <w:lang w:eastAsia="ru-RU"/>
                    </w:rPr>
                    <w:t xml:space="preserve"> (когда национальный режим не предоставляется) по перечню  согласно Приложению №2 ПП РФ от 23.12.2024 № 1875.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r>
                </w:p>
                <w:p>
                  <w:pPr>
                    <w:pStyle w:val="1015"/>
                    <w:ind w:firstLine="0"/>
                    <w:spacing w:before="0" w:line="240" w:lineRule="auto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 xml:space="preserve">При осуществлении закупки товара,</w:t>
                  </w:r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 xml:space="preserve">если Правительством РФ установлено </w:t>
                  </w:r>
                  <w:hyperlink r:id="rId13" w:tooltip="https://login.consultant.ru/link/?req=doc&amp;base=LAW&amp;n=494318&amp;dst=100007" w:history="1">
                    <w:r>
                      <w:rPr>
                        <w:rFonts w:ascii="Times New Roman" w:hAnsi="Times New Roman" w:eastAsia="Times New Roman" w:cs="Times New Roman"/>
                        <w:color w:val="auto"/>
                        <w:sz w:val="24"/>
                        <w:szCs w:val="24"/>
                        <w:lang w:eastAsia="ru-RU"/>
                      </w:rPr>
                      <w:t xml:space="preserve">ограничение</w:t>
                    </w:r>
                  </w:hyperlink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 xml:space="preserve"> закупок товаров, происходящих из иностранных государств </w:t>
                  </w:r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 xml:space="preserve">(по перечню </w:t>
                  </w:r>
                  <w:r>
                    <w:rPr>
                      <w:rFonts w:hint="default" w:ascii="Times New Roman" w:hAnsi="Times New Roman" w:eastAsia="Times New Roman" w:cs="Times New Roman"/>
                      <w:i w:val="0"/>
                      <w:iCs w:val="0"/>
                      <w:caps w:val="0"/>
                      <w:color w:val="auto"/>
                      <w:spacing w:val="0"/>
                      <w:sz w:val="24"/>
                      <w:szCs w:val="24"/>
                      <w:shd w:val="clear" w:color="auto" w:fill="ffffff"/>
                    </w:rPr>
                    <w:t xml:space="preserve">согласно приложению N 2</w:t>
                  </w:r>
                  <w:r>
                    <w:rPr>
                      <w:rFonts w:hint="default" w:ascii="Times New Roman" w:hAnsi="Times New Roman" w:eastAsia="Times New Roman" w:cs="Times New Roman"/>
                      <w:i w:val="0"/>
                      <w:iCs w:val="0"/>
                      <w:caps w:val="0"/>
                      <w:color w:val="auto"/>
                      <w:spacing w:val="0"/>
                      <w:sz w:val="24"/>
                      <w:szCs w:val="24"/>
                      <w:shd w:val="clear" w:color="auto" w:fill="ffffff"/>
                      <w:lang w:val="ru-RU"/>
                    </w:rPr>
                    <w:t xml:space="preserve"> ПП РФ № 1875)</w:t>
                  </w:r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 xml:space="preserve">,</w:t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r>
                </w:p>
                <w:p>
                  <w:pPr>
                    <w:pStyle w:val="1015"/>
                    <w:ind w:firstLine="0"/>
                    <w:spacing w:before="0" w:line="240" w:lineRule="auto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 xml:space="preserve"> не допускаются:</w:t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r>
                </w:p>
                <w:p>
                  <w:pPr>
                    <w:pStyle w:val="1015"/>
                    <w:ind w:firstLine="0"/>
                    <w:spacing w:before="0" w:line="240" w:lineRule="auto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 xml:space="preserve">а) заключение договора на поставку товара, происходящего из иностранного государства, если поданы заявки на участие в закупке, окончательное предложение, признанные по результатам их рассмотрения соответствующими требованиям полож</w:t>
                  </w:r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r>
                </w:p>
                <w:p>
                  <w:pPr>
                    <w:pStyle w:val="1015"/>
                    <w:ind w:firstLine="0"/>
                    <w:spacing w:before="0" w:line="240" w:lineRule="auto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u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auto"/>
                      <w:sz w:val="24"/>
                      <w:szCs w:val="24"/>
                      <w:lang w:eastAsia="ru-RU"/>
                    </w:rPr>
      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u w:val="none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u w:val="none"/>
                    </w:rPr>
                  </w:r>
                </w:p>
                <w:p>
                  <w:pPr>
                    <w:pStyle w:val="1015"/>
                    <w:ind w:firstLine="0"/>
                    <w:spacing w:before="0" w:after="0" w:afterAutospacing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color w:val="auto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i w:val="0"/>
                      <w:iCs w:val="0"/>
                      <w:caps w:val="0"/>
                      <w:color w:val="auto"/>
                      <w:spacing w:val="0"/>
                      <w:sz w:val="24"/>
                      <w:szCs w:val="24"/>
                      <w:shd w:val="clear" w:color="auto" w:fill="ffffff"/>
                      <w:lang w:val="ru-RU"/>
                    </w:rPr>
                  </w:r>
                  <w:r>
                    <w:rPr>
                      <w:rFonts w:hint="default" w:ascii="Times New Roman" w:hAnsi="Times New Roman" w:eastAsia="Times New Roman" w:cs="Times New Roman"/>
                      <w:i w:val="0"/>
                      <w:iCs w:val="0"/>
                      <w:caps w:val="0"/>
                      <w:color w:val="auto"/>
                      <w:spacing w:val="0"/>
                      <w:sz w:val="24"/>
                      <w:szCs w:val="24"/>
                      <w:shd w:val="clear" w:color="auto" w:fill="ffffff"/>
                    </w:rPr>
                    <w:t xml:space="preserve">, по перечню согласно приложению N 2</w:t>
                  </w:r>
                  <w:r>
                    <w:rPr>
                      <w:rFonts w:hint="default" w:ascii="Times New Roman" w:hAnsi="Times New Roman" w:eastAsia="Times New Roman" w:cs="Times New Roman"/>
                      <w:i w:val="0"/>
                      <w:iCs w:val="0"/>
                      <w:caps w:val="0"/>
                      <w:color w:val="auto"/>
                      <w:spacing w:val="0"/>
                      <w:sz w:val="24"/>
                      <w:szCs w:val="24"/>
                      <w:shd w:val="clear" w:color="auto" w:fill="ffffff"/>
                      <w:lang w:val="ru-RU"/>
                    </w:rPr>
                    <w:t xml:space="preserve"> ПП РФ № 1875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auto"/>
                      <w:sz w:val="24"/>
                      <w:szCs w:val="24"/>
                      <w:highlight w:val="none"/>
                      <w:lang w:eastAsia="ru-RU"/>
                    </w:rPr>
                  </w:r>
                </w:p>
                <w:p>
                  <w:pPr>
                    <w:pStyle w:val="1015"/>
                    <w:ind w:left="0" w:right="0" w:firstLine="0"/>
                    <w:jc w:val="left"/>
                    <w:spacing w:before="0" w:after="0" w:line="240" w:lineRule="auto"/>
                    <w:widowControl w:val="off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u w:val="none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u w:val="none"/>
                    </w:rPr>
                  </w:r>
                </w:p>
                <w:p>
                  <w:pPr>
                    <w:pStyle w:val="865"/>
                    <w:jc w:val="center"/>
                    <w:spacing w:before="0" w:after="0" w:line="240" w:lineRule="auto"/>
                    <w:widowControl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>
                    <w:rPr>
                      <w:rFonts w:cs="Times New Roman"/>
                      <w:color w:val="auto"/>
                      <w:sz w:val="20"/>
                      <w:szCs w:val="20"/>
                      <w:lang w:val="ru-RU" w:eastAsia="ru-RU" w:bidi="ar-SA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r>
                </w:p>
                <w:p>
                  <w:pPr>
                    <w:pStyle w:val="865"/>
                    <w:jc w:val="left"/>
                    <w:spacing w:before="0" w:after="0"/>
                    <w:widowControl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36" w:type="dxa"/>
                  <w:vAlign w:val="center"/>
                  <w:textDirection w:val="lrTb"/>
                  <w:noWrap w:val="false"/>
                </w:tcPr>
                <w:p>
                  <w:pPr>
                    <w:pStyle w:val="1009"/>
                    <w:ind w:left="0" w:right="0" w:firstLine="0"/>
                    <w:keepLines w:val="0"/>
                    <w:keepNext w:val="0"/>
                    <w:spacing w:before="0" w:beforeAutospacing="0" w:after="255" w:afterAutospacing="0" w:line="240" w:lineRule="auto"/>
                    <w:shd w:val="clear" w:color="auto" w:fill="ffffff"/>
                    <w:widowControl/>
                    <w:suppressLineNumbers w:val="0"/>
                  </w:pPr>
                  <w:r>
                    <w:rPr>
                      <w:rFonts w:hint="default"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Поставляемая продукция должна быть  быть включена в реестры, а именно:</w:t>
                  </w:r>
                  <w:r/>
                  <w:r/>
                </w:p>
                <w:p>
                  <w:pPr>
                    <w:pStyle w:val="1009"/>
                    <w:ind w:left="0" w:right="0" w:firstLine="0"/>
                    <w:keepLines w:val="0"/>
                    <w:keepNext w:val="0"/>
                    <w:spacing w:before="0" w:beforeAutospacing="0" w:after="255" w:afterAutospacing="0" w:line="240" w:lineRule="auto"/>
                    <w:shd w:val="clear" w:color="auto" w:fill="ffffff"/>
                    <w:widowControl/>
                    <w:rPr>
                      <w:rFonts w:hint="default" w:ascii="Times New Roman" w:hAnsi="Times New Roman" w:cs="Times New Roman"/>
                      <w:i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hint="default"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1) Реестр российской промышленной продукции, предусмотренный статьей 171 Федерального закона «О промышленной политике в Российской Федерации», содержащий в том числе: </w:t>
                  </w:r>
                  <w:r>
                    <w:rPr>
                      <w:rFonts w:hint="default" w:ascii="Times New Roman" w:hAnsi="Times New Roman" w:cs="Times New Roman"/>
                      <w:i/>
                      <w:sz w:val="20"/>
                      <w:szCs w:val="20"/>
                    </w:rPr>
                  </w:r>
                  <w:r>
                    <w:rPr>
                      <w:rFonts w:hint="default" w:ascii="Times New Roman" w:hAnsi="Times New Roman" w:cs="Times New Roman"/>
                      <w:i/>
                      <w:sz w:val="20"/>
                      <w:szCs w:val="20"/>
                    </w:rPr>
                  </w:r>
                </w:p>
                <w:p>
                  <w:pPr>
                    <w:pStyle w:val="1009"/>
                    <w:ind w:left="0" w:right="0" w:firstLine="0"/>
                    <w:keepLines w:val="0"/>
                    <w:keepNext w:val="0"/>
                    <w:spacing w:before="0" w:beforeAutospacing="0" w:after="255" w:afterAutospacing="0" w:line="240" w:lineRule="auto"/>
                    <w:shd w:val="clear" w:color="auto" w:fill="ffffff"/>
                    <w:widowControl/>
                    <w:rPr>
                      <w:rFonts w:hint="default" w:ascii="Times New Roman" w:hAnsi="Times New Roman" w:cs="Times New Roman"/>
                      <w:bCs/>
                      <w:i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hint="default" w:ascii="Times New Roman" w:hAnsi="Times New Roman" w:cs="Times New Roman"/>
                      <w:i/>
                      <w:iCs/>
                      <w:sz w:val="20"/>
                      <w:szCs w:val="20"/>
                    </w:rPr>
                  </w:r>
                  <w:r>
                    <w:rPr>
                      <w:rFonts w:hint="default"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–</w:t>
                  </w:r>
                  <w:r>
                    <w:rPr>
                      <w:rFonts w:hint="default"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ПП РФ от 17 июля 2015 г. №719 «О подтверждении производства российской промышленной про</w:t>
                  </w:r>
                  <w:r>
                    <w:rPr>
                      <w:rFonts w:hint="default"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дукции»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ПП РФ от 17 июля 2015 г. №719,</w:t>
                  </w:r>
                  <w:r>
                    <w:rPr>
                      <w:rFonts w:hint="default" w:ascii="Times New Roman" w:hAnsi="Times New Roman" w:cs="Times New Roman"/>
                      <w:bCs/>
                      <w:i/>
                      <w:sz w:val="20"/>
                      <w:szCs w:val="20"/>
                    </w:rPr>
                  </w:r>
                  <w:r>
                    <w:rPr>
                      <w:rFonts w:hint="default" w:ascii="Times New Roman" w:hAnsi="Times New Roman" w:cs="Times New Roman"/>
                      <w:bCs/>
                      <w:i/>
                      <w:sz w:val="20"/>
                      <w:szCs w:val="20"/>
                    </w:rPr>
                  </w:r>
                </w:p>
                <w:p>
                  <w:pPr>
                    <w:pStyle w:val="1009"/>
                    <w:ind w:left="0" w:right="0" w:firstLine="0"/>
                    <w:keepLines w:val="0"/>
                    <w:keepNext w:val="0"/>
                    <w:spacing w:before="0" w:beforeAutospacing="0" w:after="255" w:afterAutospacing="0" w:line="240" w:lineRule="auto"/>
                    <w:shd w:val="clear" w:color="auto" w:fill="ffffff"/>
                    <w:widowControl/>
                    <w:suppressLineNumbers w:val="0"/>
                  </w:pPr>
                  <w:r>
                    <w:rPr>
                      <w:rFonts w:hint="default"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–информацию об уровне радиоэлектронной продукции (для товара, являющегося в соответствии с ПП РФ от 17 июля 2015 г. N 719 радиоэлектронной продукцией первого уровня или радиоэлектронной продукцией второго уровня).</w:t>
                  </w:r>
                  <w:r/>
                  <w:r/>
                </w:p>
                <w:p>
                  <w:pPr>
                    <w:pStyle w:val="1009"/>
                    <w:ind w:left="0" w:right="0" w:firstLine="0"/>
                    <w:keepLines w:val="0"/>
                    <w:keepNext w:val="0"/>
                    <w:spacing w:before="0" w:beforeAutospacing="0" w:after="255" w:afterAutospacing="0" w:line="240" w:lineRule="auto"/>
                    <w:shd w:val="clear" w:color="auto" w:fill="ffffff"/>
                    <w:widowControl/>
                    <w:suppressLineNumbers w:val="0"/>
                  </w:pPr>
                  <w:r>
                    <w:rPr>
                      <w:rFonts w:hint="default"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2)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содержащий в том числе:</w:t>
                  </w:r>
                  <w:r/>
                  <w:r/>
                </w:p>
                <w:p>
                  <w:pPr>
                    <w:ind w:left="0" w:right="0" w:firstLine="0"/>
                    <w:jc w:val="both"/>
                    <w:spacing w:before="0" w:after="0" w:line="240" w:lineRule="auto"/>
                    <w:pBdr>
                      <w:top w:val="none" w:color="000000" w:sz="4" w:space="0"/>
                      <w:left w:val="none" w:color="000000" w:sz="4" w:space="0"/>
                      <w:bottom w:val="none" w:color="000000" w:sz="4" w:space="0"/>
                      <w:right w:val="none" w:color="000000" w:sz="4" w:space="0"/>
                    </w:pBdr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- </w:t>
                  </w:r>
                  <w:r>
                    <w:rPr>
                      <w:rFonts w:ascii="Times New Roman" w:hAnsi="Times New Roman" w:eastAsia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выполнение (освоение) на терри</w:t>
                  </w:r>
                  <w:r>
                    <w:rPr>
                      <w:rFonts w:ascii="Times New Roman" w:hAnsi="Times New Roman" w:eastAsia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</w:rPr>
                    <w:br/>
                  </w:r>
                  <w:r/>
                  <w:r/>
                </w:p>
                <w:p>
                  <w:pPr>
                    <w:pStyle w:val="1009"/>
                    <w:numPr>
                      <w:ilvl w:val="0"/>
                      <w:numId w:val="9"/>
                    </w:numPr>
                    <w:ind w:left="0" w:right="0" w:firstLine="0"/>
                    <w:jc w:val="left"/>
                    <w:keepLines w:val="0"/>
                    <w:keepNext w:val="0"/>
                    <w:spacing w:before="0" w:beforeAutospacing="0" w:after="255" w:afterAutospacing="0" w:line="240" w:lineRule="auto"/>
                    <w:shd w:val="clear" w:color="auto" w:fill="ffffff"/>
                    <w:widowControl w:val="off"/>
                    <w:rPr>
                      <w:rFonts w:ascii="Times New Roman" w:hAnsi="Times New Roman" w:cs="Times New Roman"/>
                      <w:i/>
                      <w:iCs/>
                      <w:caps w:val="0"/>
                      <w:smallCaps w:val="0"/>
                      <w:color w:val="333333" w:themeColor="text1"/>
                      <w:spacing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hint="default"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– 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уровня).</w:t>
                  </w:r>
                  <w:r/>
                  <w:r>
                    <w:rPr>
                      <w:rFonts w:hint="default" w:ascii="Times New Roman" w:hAnsi="Times New Roman" w:cs="Times New Roman"/>
                      <w:i w:val="0"/>
                      <w:iCs w:val="0"/>
                      <w:caps w:val="0"/>
                      <w:color w:val="auto"/>
                      <w:spacing w:val="0"/>
                      <w:sz w:val="20"/>
                      <w:szCs w:val="20"/>
                      <w:shd w:val="clear" w:color="auto" w:fill="ffffff"/>
                    </w:rPr>
                  </w:r>
                  <w:r>
                    <w:rPr>
                      <w:rFonts w:ascii="Times New Roman" w:hAnsi="Times New Roman" w:cs="Times New Roman"/>
                      <w:i/>
                      <w:iCs/>
                      <w:caps w:val="0"/>
                      <w:smallCaps w:val="0"/>
                      <w:color w:val="333333" w:themeColor="text1"/>
                      <w:spacing w:val="0"/>
                      <w:sz w:val="20"/>
                      <w:szCs w:val="20"/>
                      <w:shd w:val="clear" w:color="auto" w:fill="ffffff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i/>
                      <w:iCs/>
                      <w:sz w:val="24"/>
                      <w:szCs w:val="24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i/>
                      <w:iCs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  <w:lang w:val="ru-RU" w:eastAsia="ru-RU" w:bidi="ar-SA"/>
                    </w:rPr>
                  </w:r>
                  <w:r>
                    <w:rPr>
                      <w:i/>
                      <w:iCs/>
                      <w:sz w:val="24"/>
                      <w:szCs w:val="24"/>
                    </w:rPr>
                  </w:r>
                  <w:r>
                    <w:rPr>
                      <w:i/>
                      <w:iCs/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09" w:type="dxa"/>
                  <w:vAlign w:val="center"/>
                  <w:textDirection w:val="lrTb"/>
                  <w:noWrap w:val="false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 w:cs="Times New Roman"/>
                      <w:b/>
                      <w:bCs w:val="0"/>
                      <w:i w:val="0"/>
                      <w:sz w:val="20"/>
                      <w:szCs w:val="20"/>
                      <w:highlight w:val="cyan"/>
                    </w:rPr>
                  </w:pPr>
                  <w:r>
                    <w:rPr>
                      <w:rFonts w:ascii="Times New Roman" w:hAnsi="Times New Roman" w:eastAsia="Times New Roman" w:cs="Times New Roman" w:eastAsiaTheme="minorHAnsi"/>
                      <w:i/>
                      <w:iCs/>
                      <w:sz w:val="20"/>
                      <w:szCs w:val="20"/>
                      <w:highlight w:val="none"/>
                      <w:lang w:eastAsia="en-US"/>
                    </w:rPr>
                  </w:r>
                  <w:r>
                    <w:rPr>
                      <w:rFonts w:ascii="Times New Roman" w:hAnsi="Times New Roman" w:eastAsia="Times New Roman" w:cs="Times New Roman" w:eastAsiaTheme="minorHAnsi"/>
                      <w:i/>
                      <w:iCs/>
                      <w:sz w:val="20"/>
                      <w:szCs w:val="20"/>
                      <w:highlight w:val="none"/>
                      <w:lang w:eastAsia="en-US"/>
                    </w:rPr>
                    <w:t xml:space="preserve">Для подтверждения происхождения товаров из Российской Федерации (либо подтверждения происхождения товаров из государств - членов Евразийского экономического союза, за исключением РФ) </w:t>
                  </w:r>
                  <w:r>
                    <w:rPr>
                      <w:rFonts w:hint="default" w:ascii="Times New Roman" w:hAnsi="Times New Roman" w:cs="Times New Roman"/>
                      <w:b/>
                      <w:bCs w:val="0"/>
                      <w:i w:val="0"/>
                      <w:sz w:val="20"/>
                      <w:szCs w:val="20"/>
                      <w:highlight w:val="cyan"/>
                    </w:rPr>
                  </w:r>
                  <w:r>
                    <w:rPr>
                      <w:rFonts w:hint="default" w:ascii="Times New Roman" w:hAnsi="Times New Roman" w:cs="Times New Roman"/>
                      <w:b/>
                      <w:bCs w:val="0"/>
                      <w:i w:val="0"/>
                      <w:sz w:val="20"/>
                      <w:szCs w:val="20"/>
                      <w:highlight w:val="cyan"/>
                    </w:rPr>
                  </w:r>
                </w:p>
                <w:p>
                  <w:pPr>
                    <w:pStyle w:val="865"/>
                    <w:numPr>
                      <w:ilvl w:val="0"/>
                      <w:numId w:val="0"/>
                    </w:numPr>
                    <w:ind w:left="0" w:right="0" w:firstLine="0"/>
                    <w:jc w:val="both"/>
                    <w:spacing w:before="0" w:after="0" w:line="240" w:lineRule="auto"/>
                    <w:widowControl/>
                    <w:rPr>
                      <w:rFonts w:ascii="Times New Roman" w:hAnsi="Times New Roman" w:eastAsia="Calibri" w:cs="Times New Roman" w:eastAsiaTheme="minorHAnsi"/>
                      <w:bCs w:val="0"/>
                      <w:i w:val="0"/>
                      <w:color w:val="000000" w:themeColor="text1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eastAsia="Calibri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Участник должен предоставить</w:t>
                  </w:r>
                  <w:r>
                    <w:rPr>
                      <w:rFonts w:eastAsia="Calibri" w:cs="Times New Roman" w:eastAsiaTheme="minorHAnsi"/>
                      <w:i/>
                      <w:iCs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rFonts w:ascii="Times New Roman" w:hAnsi="Times New Roman" w:eastAsia="Calibri" w:cs="Times New Roman" w:eastAsiaTheme="minorHAnsi"/>
                      <w:bCs w:val="0"/>
                      <w:i w:val="0"/>
                      <w:color w:val="000000" w:themeColor="text1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eastAsia="Calibri" w:cs="Times New Roman" w:eastAsiaTheme="minorHAnsi"/>
                      <w:bCs w:val="0"/>
                      <w:i w:val="0"/>
                      <w:color w:val="000000" w:themeColor="text1"/>
                      <w:sz w:val="20"/>
                      <w:szCs w:val="20"/>
                    </w:rPr>
                  </w:r>
                </w:p>
                <w:p>
                  <w:pPr>
                    <w:pStyle w:val="865"/>
                    <w:numPr>
                      <w:ilvl w:val="0"/>
                      <w:numId w:val="0"/>
                    </w:numPr>
                    <w:ind w:left="0" w:right="0" w:firstLine="0"/>
                    <w:jc w:val="both"/>
                    <w:spacing w:before="0" w:after="0" w:line="240" w:lineRule="auto"/>
                    <w:widowControl/>
                    <w:rPr>
                      <w:rFonts w:ascii="Times New Roman" w:hAnsi="Times New Roman" w:eastAsia="Calibri" w:cs="Times New Roman" w:eastAsiaTheme="minorHAnsi"/>
                      <w:i w:val="0"/>
                      <w:iCs w:val="0"/>
                      <w:color w:val="000000" w:themeColor="text1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eastAsia="Calibri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rFonts w:eastAsia="Calibri" w:cs="Times New Roman" w:eastAsiaTheme="minorHAnsi"/>
                      <w:b/>
                      <w:bCs/>
                      <w:i w:val="0"/>
                      <w:iCs w:val="0"/>
                      <w:color w:val="000000" w:themeColor="text1"/>
                      <w:sz w:val="22"/>
                      <w:szCs w:val="22"/>
                      <w:highlight w:val="yellow"/>
                      <w:u w:val="single"/>
                      <w:lang w:eastAsia="en-US"/>
                    </w:rPr>
                    <w:t xml:space="preserve">в составе ценового предложения</w:t>
                  </w:r>
                  <w:r>
                    <w:rPr>
                      <w:rFonts w:eastAsia="Calibri" w:cs="Times New Roman" w:eastAsiaTheme="minorHAnsi"/>
                      <w:b/>
                      <w:bCs/>
                      <w:i w:val="0"/>
                      <w:iCs w:val="0"/>
                      <w:color w:val="000000" w:themeColor="text1"/>
                      <w:sz w:val="22"/>
                      <w:szCs w:val="22"/>
                      <w:highlight w:val="white"/>
                      <w:u w:val="none"/>
                      <w:lang w:eastAsia="en-US"/>
                    </w:rPr>
                    <w:t xml:space="preserve">  </w:t>
                  </w:r>
                  <w:r>
                    <w:rPr>
                      <w:rFonts w:eastAsia="Calibri" w:cs="Times New Roman" w:eastAsiaTheme="minorHAnsi"/>
                      <w:b w:val="0"/>
                      <w:bCs w:val="0"/>
                      <w:i w:val="0"/>
                      <w:iCs w:val="0"/>
                      <w:color w:val="000000" w:themeColor="text1"/>
                      <w:sz w:val="22"/>
                      <w:szCs w:val="22"/>
                      <w:u w:val="none"/>
                      <w:lang w:eastAsia="en-US"/>
                    </w:rPr>
                    <w:t xml:space="preserve">Коммерческое предложение </w:t>
                  </w:r>
                  <w:r>
                    <w:rPr>
                      <w:rFonts w:eastAsia="Calibri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по форме, установленной Документацией о закупке, с </w:t>
                  </w:r>
                  <w:r>
                    <w:rPr>
                      <w:rFonts w:eastAsia="Calibri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указанием </w:t>
                  </w:r>
                  <w:r>
                    <w:rPr>
                      <w:rFonts w:eastAsia="Calibri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в отношении поставляемой продукции информации</w:t>
                  </w:r>
                  <w:r>
                    <w:rPr>
                      <w:rFonts w:eastAsia="Calibri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lang w:val="ru-RU" w:eastAsia="en-US"/>
                    </w:rPr>
                    <w:t xml:space="preserve">:</w:t>
                  </w:r>
                  <w:r>
                    <w:rPr>
                      <w:rFonts w:ascii="Times New Roman" w:hAnsi="Times New Roman" w:eastAsia="Calibri" w:cs="Times New Roman" w:eastAsiaTheme="minorHAnsi"/>
                      <w:i w:val="0"/>
                      <w:iCs w:val="0"/>
                      <w:color w:val="000000" w:themeColor="text1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eastAsia="Calibri" w:cs="Times New Roman" w:eastAsiaTheme="minorHAnsi"/>
                      <w:i w:val="0"/>
                      <w:iCs w:val="0"/>
                      <w:color w:val="000000" w:themeColor="text1"/>
                      <w:sz w:val="20"/>
                      <w:szCs w:val="20"/>
                    </w:rPr>
                  </w:r>
                </w:p>
                <w:p>
                  <w:pPr>
                    <w:pStyle w:val="982"/>
                    <w:numPr>
                      <w:ilvl w:val="0"/>
                      <w:numId w:val="11"/>
                    </w:numPr>
                    <w:contextualSpacing/>
                    <w:ind w:left="396" w:right="0" w:hanging="283"/>
                    <w:jc w:val="both"/>
                    <w:spacing w:before="0" w:after="0" w:line="240" w:lineRule="auto"/>
                    <w:widowControl/>
                    <w:rPr>
                      <w:rFonts w:ascii="Times New Roman" w:hAnsi="Times New Roman" w:eastAsia="Calibri" w:cs="Times New Roman" w:eastAsiaTheme="minorHAnsi"/>
                      <w:bCs w:val="0"/>
                      <w:i w:val="0"/>
                      <w:color w:val="000000" w:themeColor="text1"/>
                      <w:sz w:val="20"/>
                      <w:szCs w:val="20"/>
                    </w:rPr>
                    <w:suppressLineNumbers w:val="0"/>
                  </w:pPr>
                  <w:r>
                    <w:rPr>
                      <w:rFonts w:eastAsia="Calibri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lang w:val="ru-RU" w:eastAsia="en-US"/>
                    </w:rPr>
                    <w:t xml:space="preserve">наименование реестра,</w:t>
                  </w:r>
                  <w:r>
                    <w:rPr>
                      <w:rFonts w:ascii="Times New Roman" w:hAnsi="Times New Roman" w:eastAsia="Calibri" w:cs="Times New Roman" w:eastAsiaTheme="minorHAnsi"/>
                      <w:bCs w:val="0"/>
                      <w:i w:val="0"/>
                      <w:color w:val="000000" w:themeColor="text1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eastAsia="Calibri" w:cs="Times New Roman" w:eastAsiaTheme="minorHAnsi"/>
                      <w:bCs w:val="0"/>
                      <w:i w:val="0"/>
                      <w:color w:val="000000" w:themeColor="text1"/>
                      <w:sz w:val="20"/>
                      <w:szCs w:val="20"/>
                    </w:rPr>
                  </w:r>
                </w:p>
                <w:p>
                  <w:pPr>
                    <w:pStyle w:val="982"/>
                    <w:numPr>
                      <w:ilvl w:val="0"/>
                      <w:numId w:val="11"/>
                    </w:numPr>
                    <w:contextualSpacing/>
                    <w:ind w:left="396" w:right="57" w:hanging="283"/>
                    <w:jc w:val="both"/>
                    <w:spacing w:before="0" w:after="0" w:line="240" w:lineRule="auto"/>
                    <w:widowControl/>
                    <w:rPr>
                      <w:rFonts w:ascii="Times New Roman" w:hAnsi="Times New Roman" w:eastAsia="Calibri" w:cs="Times New Roman" w:eastAsiaTheme="minorHAnsi"/>
                      <w:bCs w:val="0"/>
                      <w:i w:val="0"/>
                      <w:color w:val="000000" w:themeColor="text1"/>
                      <w:sz w:val="20"/>
                      <w:szCs w:val="20"/>
                      <w:highlight w:val="none"/>
                    </w:rPr>
                    <w:suppressLineNumbers w:val="0"/>
                  </w:pPr>
                  <w:r>
                    <w:rPr>
                      <w:rFonts w:eastAsia="Calibri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номер реестровой записи </w:t>
                  </w:r>
                  <w:r>
                    <w:rPr>
                      <w:rFonts w:eastAsia="Calibri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соответствующего </w:t>
                  </w:r>
                  <w:r>
                    <w:rPr>
                      <w:rFonts w:eastAsia="Calibri" w:cs="Times New Roman" w:eastAsiaTheme="minorHAnsi"/>
                      <w:i w:val="0"/>
                      <w:iCs w:val="0"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реестра.</w:t>
                  </w:r>
                  <w:r>
                    <w:rPr>
                      <w:rFonts w:ascii="Times New Roman" w:hAnsi="Times New Roman" w:eastAsia="Calibri" w:cs="Times New Roman" w:eastAsiaTheme="minorHAnsi"/>
                      <w:bCs w:val="0"/>
                      <w:i w:val="0"/>
                      <w:color w:val="000000" w:themeColor="text1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Calibri" w:cs="Times New Roman" w:eastAsiaTheme="minorHAnsi"/>
                      <w:bCs w:val="0"/>
                      <w:i w:val="0"/>
                      <w:color w:val="000000" w:themeColor="text1"/>
                      <w:sz w:val="20"/>
                      <w:szCs w:val="20"/>
                      <w:highlight w:val="none"/>
                    </w:rPr>
                  </w:r>
                </w:p>
                <w:p>
                  <w:pPr>
                    <w:pStyle w:val="865"/>
                    <w:ind w:left="113" w:right="113" w:firstLine="0"/>
                    <w:jc w:val="both"/>
                    <w:spacing w:before="0" w:after="0" w:line="240" w:lineRule="auto"/>
                    <w:widowControl/>
                    <w:rPr>
                      <w:rFonts w:ascii="Times New Roman" w:hAnsi="Times New Roman" w:eastAsia="Times New Roman" w:cs="Times New Roman"/>
                      <w:bCs/>
                      <w:i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bCs/>
                      <w:i/>
                      <w:color w:val="000000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i/>
                      <w:color w:val="000000"/>
                      <w:sz w:val="20"/>
                      <w:szCs w:val="20"/>
                    </w:rPr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240" w:lineRule="auto"/>
                    <w:rPr>
                      <w:rFonts w:hint="default" w:ascii="Times New Roman" w:hAnsi="Times New Roman" w:cs="Times New Roman" w:eastAsiaTheme="minorHAnsi"/>
                      <w:b w:val="0"/>
                      <w:bCs w:val="0"/>
                      <w:i w:val="0"/>
                      <w:iCs w:val="0"/>
                      <w:color w:val="auto" w:themeColor="text1"/>
                      <w:sz w:val="20"/>
                      <w:szCs w:val="20"/>
                      <w:highlight w:val="none"/>
                      <w14:ligatures w14:val="none"/>
                    </w:rPr>
                  </w:pPr>
                  <w:r>
                    <w:rPr>
                      <w:b/>
                      <w:bCs/>
                      <w:i/>
                      <w:iCs/>
                      <w:color w:val="000000" w:themeColor="text1"/>
                      <w:sz w:val="22"/>
                      <w:szCs w:val="22"/>
                      <w:highlight w:val="white"/>
                    </w:rPr>
                    <w:t xml:space="preserve">В случае отсутствия треб</w:t>
                  </w:r>
                  <w:r>
                    <w:rPr>
                      <w:b/>
                      <w:bCs/>
                      <w:i/>
                      <w:iCs/>
                      <w:color w:val="000000" w:themeColor="text1"/>
                      <w:sz w:val="22"/>
                      <w:szCs w:val="22"/>
                      <w:highlight w:val="white"/>
                    </w:rPr>
                    <w:t xml:space="preserve">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2"/>
                      <w:szCs w:val="22"/>
                      <w:highlight w:val="white"/>
                    </w:rPr>
                    <w:t xml:space="preserve">ПП РФ №1875 от 23.12.2024).</w:t>
                  </w:r>
                  <w:r>
                    <w:rPr>
                      <w:rFonts w:hint="default" w:ascii="Times New Roman" w:hAnsi="Times New Roman" w:cs="Times New Roman" w:eastAsiaTheme="minorHAnsi"/>
                      <w:b w:val="0"/>
                      <w:bCs w:val="0"/>
                      <w:i w:val="0"/>
                      <w:iCs w:val="0"/>
                      <w:color w:val="auto" w:themeColor="text1"/>
                      <w:sz w:val="20"/>
                      <w:szCs w:val="20"/>
                      <w:highlight w:val="none"/>
                      <w14:ligatures w14:val="none"/>
                    </w:rPr>
                  </w:r>
                  <w:r>
                    <w:rPr>
                      <w:rFonts w:hint="default" w:ascii="Times New Roman" w:hAnsi="Times New Roman" w:cs="Times New Roman" w:eastAsiaTheme="minorHAnsi"/>
                      <w:b w:val="0"/>
                      <w:bCs w:val="0"/>
                      <w:i w:val="0"/>
                      <w:iCs w:val="0"/>
                      <w:color w:val="auto" w:themeColor="text1"/>
                      <w:sz w:val="20"/>
                      <w:szCs w:val="20"/>
                      <w:highlight w:val="none"/>
                      <w14:ligatures w14:val="none"/>
                    </w:rPr>
                  </w:r>
                </w:p>
                <w:p>
                  <w:pPr>
                    <w:pStyle w:val="865"/>
                    <w:numPr>
                      <w:ilvl w:val="0"/>
                      <w:numId w:val="0"/>
                    </w:numPr>
                    <w:ind w:left="0" w:firstLine="0"/>
                    <w:jc w:val="left"/>
                    <w:spacing w:before="0" w:after="0"/>
                    <w:widowControl/>
                    <w:rPr>
                      <w:rFonts w:ascii="Times New Roman" w:hAnsi="Times New Roman" w:cs="Times New Roman"/>
                      <w:b/>
                      <w:bCs/>
                      <w:i w:val="0"/>
                      <w:iCs w:val="0"/>
                      <w:sz w:val="20"/>
                      <w:szCs w:val="20"/>
                      <w:highlight w:val="cyan"/>
                    </w:rPr>
                  </w:pPr>
                  <w:r>
                    <w:rPr>
                      <w:rFonts w:eastAsia="Calibri" w:cs="Times New Roman" w:eastAsiaTheme="minorHAnsi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en-US" w:bidi="ar-SA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i w:val="0"/>
                      <w:iCs w:val="0"/>
                      <w:sz w:val="20"/>
                      <w:szCs w:val="20"/>
                      <w:highlight w:val="cyan"/>
                    </w:rPr>
                  </w:r>
                </w:p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Cs w:val="0"/>
                      <w:i w:val="0"/>
                      <w:sz w:val="24"/>
                      <w:szCs w:val="24"/>
                    </w:rPr>
                  </w:pPr>
                  <w:r>
                    <w:rPr>
                      <w:bCs w:val="0"/>
                      <w:i w:val="0"/>
                      <w:sz w:val="24"/>
                      <w:szCs w:val="24"/>
                      <w:lang w:val="ru-RU" w:eastAsia="ru-RU" w:bidi="ar-SA"/>
                    </w:rPr>
                  </w:r>
                  <w:r>
                    <w:rPr>
                      <w:bCs w:val="0"/>
                      <w:i w:val="0"/>
                      <w:sz w:val="24"/>
                      <w:szCs w:val="24"/>
                    </w:rPr>
                  </w:r>
                  <w:r>
                    <w:rPr>
                      <w:bCs w:val="0"/>
                      <w:i w:val="0"/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lang w:val="ru-RU" w:eastAsia="ru-RU" w:bidi="ar-SA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19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ind w:left="0" w:right="0" w:firstLine="0"/>
                    <w:jc w:val="center"/>
                    <w:spacing w:before="60" w:after="60"/>
                    <w:widowControl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3.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65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b/>
                      <w:sz w:val="24"/>
                      <w:szCs w:val="24"/>
                      <w:lang w:val="ru-RU" w:eastAsia="ru-RU" w:bidi="ar-SA"/>
                    </w:rPr>
                    <w:t xml:space="preserve">Требования к отдельным обязательствам поставщика по договору: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82" w:type="dxa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09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</w:tr>
            <w:tr>
              <w:tblPrEx/>
              <w:trPr>
                <w:trHeight w:val="300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ind w:left="0" w:right="0" w:firstLine="0"/>
                    <w:jc w:val="center"/>
                    <w:spacing w:before="60" w:after="60"/>
                    <w:widowControl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3.1.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820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Требования к гарантиям, гарантийному и послегарантийному обслуживанию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3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ind w:right="126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Гарантийные</w:t>
                  </w:r>
                  <w:r>
                    <w:rPr>
                      <w:spacing w:val="1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обязательства</w:t>
                  </w:r>
                  <w:r>
                    <w:rPr>
                      <w:spacing w:val="1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действуют</w:t>
                  </w:r>
                  <w:r>
                    <w:rPr>
                      <w:spacing w:val="1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в</w:t>
                  </w:r>
                  <w:r>
                    <w:rPr>
                      <w:spacing w:val="1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течение</w:t>
                  </w:r>
                  <w:r>
                    <w:rPr>
                      <w:spacing w:val="1"/>
                      <w:sz w:val="24"/>
                      <w:szCs w:val="24"/>
                      <w:lang w:val="ru-RU" w:eastAsia="en-US" w:bidi="ar-SA"/>
                    </w:rPr>
                    <w:t xml:space="preserve"> 12 </w:t>
                  </w: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(</w:t>
                  </w: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двенадцати</w:t>
                  </w: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)</w:t>
                  </w:r>
                  <w:r>
                    <w:rPr>
                      <w:spacing w:val="1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месяцев с</w:t>
                  </w:r>
                  <w:r>
                    <w:rPr>
                      <w:spacing w:val="1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даты</w:t>
                  </w:r>
                  <w:r>
                    <w:rPr>
                      <w:spacing w:val="1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подписания</w:t>
                  </w:r>
                  <w:bookmarkStart w:id="6" w:name="_GoBack"/>
                  <w:r/>
                  <w:bookmarkEnd w:id="6"/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 УПД.</w:t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  <w:p>
                  <w:pPr>
                    <w:pStyle w:val="865"/>
                    <w:ind w:right="127" w:firstLine="0"/>
                    <w:jc w:val="left"/>
                    <w:spacing w:before="0" w:after="0"/>
                    <w:widowControl w:val="off"/>
                    <w:rPr>
                      <w:lang w:eastAsia="en-US"/>
                    </w:rPr>
                  </w:pP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Транспортные расходы, связанные с исполнением гарантийных обязательств, возлагаются</w:t>
                  </w:r>
                  <w:r>
                    <w:rPr>
                      <w:spacing w:val="1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spacing w:val="-1"/>
                      <w:sz w:val="24"/>
                      <w:szCs w:val="24"/>
                      <w:lang w:val="ru-RU" w:eastAsia="en-US" w:bidi="ar-SA"/>
                    </w:rPr>
                    <w:t xml:space="preserve">на</w:t>
                  </w:r>
                  <w:r>
                    <w:rPr>
                      <w:spacing w:val="-14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spacing w:val="-1"/>
                      <w:sz w:val="24"/>
                      <w:szCs w:val="24"/>
                      <w:lang w:val="ru-RU" w:eastAsia="en-US" w:bidi="ar-SA"/>
                    </w:rPr>
                    <w:t xml:space="preserve">Поставщика.</w:t>
                  </w:r>
                  <w:r>
                    <w:rPr>
                      <w:lang w:eastAsia="en-US"/>
                    </w:rPr>
                  </w:r>
                  <w:r>
                    <w:rPr>
                      <w:lang w:eastAsia="en-US"/>
                    </w:rPr>
                  </w:r>
                </w:p>
                <w:p>
                  <w:pPr>
                    <w:pStyle w:val="865"/>
                    <w:ind w:right="127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spacing w:val="-1"/>
                      <w:sz w:val="24"/>
                      <w:szCs w:val="24"/>
                      <w:lang w:val="ru-RU" w:eastAsia="en-US" w:bidi="ar-SA"/>
                    </w:rPr>
                    <w:t xml:space="preserve">Послегарантийное обслуживание договором не предусмотрено.</w:t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i/>
                      <w:iCs/>
                      <w:sz w:val="24"/>
                      <w:szCs w:val="24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09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eastAsia="ru-RU" w:bidi="ar-SA"/>
                    </w:rPr>
                  </w:pPr>
                  <w:r>
                    <w:rPr>
                      <w:sz w:val="24"/>
                      <w:szCs w:val="24"/>
                      <w:lang w:val="en-US" w:eastAsia="ru-RU" w:bidi="ar-SA"/>
                    </w:rPr>
                    <w:t xml:space="preserve">“</w:t>
                  </w:r>
                  <w:r>
                    <w:rPr>
                      <w:sz w:val="24"/>
                      <w:szCs w:val="24"/>
                      <w:lang w:val="en-US" w:eastAsia="ru-RU" w:bidi="ar-SA"/>
                    </w:rPr>
                    <w:t xml:space="preserve">-”</w:t>
                  </w:r>
                  <w:r>
                    <w:rPr>
                      <w:lang w:eastAsia="ru-RU" w:bidi="ar-SA"/>
                    </w:rPr>
                  </w:r>
                  <w:r>
                    <w:rPr>
                      <w:lang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</w:tr>
            <w:tr>
              <w:tblPrEx/>
              <w:trPr>
                <w:trHeight w:val="952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ind w:left="-142" w:right="0" w:firstLine="0"/>
                    <w:jc w:val="center"/>
                    <w:spacing w:before="60" w:after="60"/>
                    <w:widowControl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3.2.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820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Требования к документам, передаваемым вместе с оборудованием (на этапе исполнения договора)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3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ind w:right="126" w:firstLine="0"/>
                    <w:jc w:val="left"/>
                    <w:spacing w:before="0" w:after="0"/>
                    <w:widowControl w:val="off"/>
                    <w:rPr>
                      <w:lang w:val="ru-RU" w:bidi="ar-SA"/>
                    </w:rPr>
                  </w:pP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В соответствии с п. 3.3 Проекта договора (Приложение № 2 к Документации о закупке)</w:t>
                  </w:r>
                  <w:r>
                    <w:rPr>
                      <w:lang w:val="ru-RU" w:bidi="ar-SA"/>
                    </w:rPr>
                  </w:r>
                  <w:r>
                    <w:rPr>
                      <w:lang w:val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i/>
                      <w:iCs/>
                      <w:sz w:val="24"/>
                      <w:szCs w:val="24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09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“</w:t>
                  </w: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-”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textDirection w:val="lrTb"/>
                  <w:noWrap w:val="false"/>
                </w:tcPr>
                <w:p>
                  <w:pPr>
                    <w:pStyle w:val="865"/>
                    <w:ind w:left="0" w:right="317" w:firstLine="0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</w:tr>
            <w:tr>
              <w:tblPrEx/>
              <w:trPr>
                <w:trHeight w:val="355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ind w:left="-142" w:right="0" w:firstLine="0"/>
                    <w:jc w:val="center"/>
                    <w:spacing w:before="60" w:after="60"/>
                    <w:widowControl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3.3.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820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left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sz w:val="24"/>
                      <w:szCs w:val="24"/>
                      <w:lang w:val="ru-RU" w:eastAsia="ru-RU" w:bidi="ar-SA"/>
                    </w:rPr>
                    <w:t xml:space="preserve">Требования к доставке,  маркировке, упаковке, транспортировке, перемещению, условиям хранения, приемке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36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ind w:right="126" w:firstLine="0"/>
                    <w:jc w:val="left"/>
                    <w:spacing w:before="0" w:after="0"/>
                    <w:widowControl w:val="off"/>
                    <w:rPr>
                      <w:color w:val="000000"/>
                      <w:highlight w:val="white"/>
                    </w:rPr>
                  </w:pPr>
                  <w:r>
                    <w:rPr>
                      <w:sz w:val="24"/>
                      <w:szCs w:val="24"/>
                      <w:lang w:val="ru-RU" w:eastAsia="en-US" w:bidi="ar-SA"/>
                    </w:rPr>
                    <w:t xml:space="preserve">в соответствии с разделом 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  <w:lang w:val="ru-RU" w:eastAsia="en-US" w:bidi="ar-SA"/>
                    </w:rPr>
                    <w:t xml:space="preserve">3 Проекта договора (Приложение 2 к документации о закупке)</w:t>
                  </w:r>
                  <w:r>
                    <w:rPr>
                      <w:color w:val="000000"/>
                      <w:highlight w:val="white"/>
                    </w:rPr>
                  </w:r>
                  <w:r>
                    <w:rPr>
                      <w:color w:val="000000"/>
                      <w:highlight w:val="white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i/>
                      <w:iCs/>
                      <w:sz w:val="24"/>
                      <w:szCs w:val="24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09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eastAsia="ru-RU" w:bidi="ar-SA"/>
                    </w:rPr>
                  </w:pPr>
                  <w:r>
                    <w:rPr>
                      <w:sz w:val="24"/>
                      <w:szCs w:val="24"/>
                      <w:lang w:val="en-US" w:eastAsia="ru-RU" w:bidi="ar-SA"/>
                    </w:rPr>
                    <w:t xml:space="preserve">“</w:t>
                  </w:r>
                  <w:r>
                    <w:rPr>
                      <w:sz w:val="24"/>
                      <w:szCs w:val="24"/>
                      <w:lang w:val="en-US" w:eastAsia="ru-RU" w:bidi="ar-SA"/>
                    </w:rPr>
                    <w:t xml:space="preserve">-”</w:t>
                  </w:r>
                  <w:r>
                    <w:rPr>
                      <w:lang w:eastAsia="ru-RU" w:bidi="ar-SA"/>
                    </w:rPr>
                  </w:r>
                  <w:r>
                    <w:rPr>
                      <w:lang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vAlign w:val="center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val="ru-RU" w:eastAsia="ru-RU" w:bidi="ar-SA"/>
                    </w:rPr>
                  </w:pP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  <w:r>
                    <w:rPr>
                      <w:lang w:val="ru-RU" w:eastAsia="ru-RU" w:bidi="ar-SA"/>
                    </w:rPr>
                  </w:r>
                </w:p>
              </w:tc>
            </w:tr>
            <w:tr>
              <w:tblPrEx/>
              <w:trPr>
                <w:trHeight w:val="355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865"/>
                    <w:ind w:left="-142" w:right="0" w:firstLine="0"/>
                    <w:jc w:val="center"/>
                    <w:spacing w:before="60" w:after="60"/>
                    <w:widowControl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  <w:lang w:val="ru-RU" w:eastAsia="ru-RU" w:bidi="ar-SA"/>
                    </w:rPr>
                    <w:t xml:space="preserve">3.4.</w:t>
                  </w:r>
                  <w:r>
                    <w:rPr>
                      <w:color w:val="auto"/>
                      <w:sz w:val="24"/>
                      <w:szCs w:val="24"/>
                    </w:rPr>
                  </w:r>
                  <w:r>
                    <w:rPr>
                      <w:color w:val="auto"/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765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before="60" w:after="60"/>
                    <w:rPr>
                      <w:b w:val="0"/>
                      <w:bCs w:val="0"/>
                      <w:color w:val="auto"/>
                    </w:rPr>
                  </w:pPr>
                  <w:r>
                    <w:rPr>
                      <w:b w:val="0"/>
                      <w:bCs w:val="0"/>
                      <w:color w:val="auto"/>
                      <w:sz w:val="24"/>
                      <w:szCs w:val="24"/>
                    </w:rPr>
                    <w:t xml:space="preserve">Требования к сопутствующим услугам:</w:t>
                  </w:r>
                  <w:r>
                    <w:rPr>
                      <w:b w:val="0"/>
                      <w:bCs w:val="0"/>
                      <w:color w:val="auto"/>
                    </w:rPr>
                  </w:r>
                  <w:r>
                    <w:rPr>
                      <w:b w:val="0"/>
                      <w:bCs w:val="0"/>
                      <w:color w:val="auto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82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</w:pPr>
                  <w:r>
                    <w:rPr>
                      <w:b/>
                      <w:sz w:val="24"/>
                      <w:szCs w:val="24"/>
                    </w:rPr>
                    <w:t xml:space="preserve">-//-</w:t>
                  </w:r>
                  <w:r>
                    <w:rPr>
                      <w:b/>
                      <w:sz w:val="24"/>
                      <w:szCs w:val="24"/>
                    </w:rPr>
                  </w:r>
                  <w:r/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0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</w:pPr>
                  <w:r>
                    <w:rPr>
                      <w:b/>
                      <w:sz w:val="24"/>
                      <w:szCs w:val="24"/>
                    </w:rPr>
                    <w:t xml:space="preserve">-//-</w:t>
                  </w:r>
                  <w:r>
                    <w:rPr>
                      <w:b/>
                      <w:sz w:val="24"/>
                      <w:szCs w:val="24"/>
                    </w:rPr>
                  </w:r>
                  <w:r/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</w:pPr>
                  <w:r>
                    <w:rPr>
                      <w:b/>
                      <w:sz w:val="24"/>
                      <w:szCs w:val="24"/>
                    </w:rPr>
                    <w:t xml:space="preserve">-//-</w:t>
                  </w:r>
                  <w:r>
                    <w:rPr>
                      <w:b/>
                      <w:sz w:val="24"/>
                      <w:szCs w:val="24"/>
                    </w:rPr>
                  </w:r>
                  <w:r/>
                </w:p>
              </w:tc>
            </w:tr>
            <w:tr>
              <w:tblPrEx/>
              <w:trPr>
                <w:trHeight w:val="355"/>
              </w:trPr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65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865"/>
                    <w:ind w:left="-142" w:right="0" w:firstLine="0"/>
                    <w:jc w:val="center"/>
                    <w:spacing w:before="60" w:after="60"/>
                    <w:widowControl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  <w:lang w:val="ru-RU" w:eastAsia="ru-RU" w:bidi="ar-SA"/>
                    </w:rPr>
                    <w:t xml:space="preserve">3.4.1</w:t>
                  </w:r>
                  <w:r>
                    <w:rPr>
                      <w:color w:val="auto"/>
                      <w:sz w:val="24"/>
                      <w:szCs w:val="24"/>
                    </w:rPr>
                  </w:r>
                  <w:r>
                    <w:rPr>
                      <w:color w:val="auto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820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before="60" w:after="60"/>
                    <w:rPr>
                      <w:b w:val="0"/>
                      <w:bCs w:val="0"/>
                      <w:color w:val="auto"/>
                    </w:rPr>
                  </w:pPr>
                  <w:r>
                    <w:rPr>
                      <w:b w:val="0"/>
                      <w:bCs w:val="0"/>
                      <w:color w:val="auto"/>
                      <w:sz w:val="24"/>
                      <w:szCs w:val="24"/>
                    </w:rPr>
                    <w:t xml:space="preserve">Требования к прочим услугам</w:t>
                  </w:r>
                  <w:r>
                    <w:rPr>
                      <w:b w:val="0"/>
                      <w:bCs w:val="0"/>
                      <w:color w:val="auto"/>
                    </w:rPr>
                  </w:r>
                  <w:r>
                    <w:rPr>
                      <w:b w:val="0"/>
                      <w:bCs w:val="0"/>
                      <w:color w:val="auto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83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rPr>
                      <w:i w:val="0"/>
                      <w:iCs w:val="0"/>
                      <w:color w:val="auto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color w:val="auto"/>
                      <w:sz w:val="24"/>
                      <w:szCs w:val="24"/>
                    </w:rPr>
                    <w:t xml:space="preserve">Услуги по сборке шкафа </w:t>
                  </w:r>
                  <w:r>
                    <w:rPr>
                      <w:color w:val="auto"/>
                      <w:sz w:val="24"/>
                      <w:szCs w:val="24"/>
                      <w:lang w:val="ru-RU" w:eastAsia="en-US" w:bidi="ar-SA"/>
                    </w:rPr>
                    <w:t xml:space="preserve">с предустановленным оборудованием </w:t>
                  </w:r>
                  <w:r>
                    <w:rPr>
                      <w:color w:val="auto"/>
                      <w:sz w:val="24"/>
                      <w:szCs w:val="24"/>
                      <w:lang w:val="ru-RU" w:eastAsia="en-US" w:bidi="ar-SA"/>
                    </w:rPr>
                    <w:t xml:space="preserve">Приложения №1</w:t>
                  </w:r>
                  <w:r>
                    <w:rPr>
                      <w:color w:val="auto"/>
                      <w:sz w:val="24"/>
                      <w:szCs w:val="24"/>
                      <w:lang w:val="ru-RU" w:eastAsia="en-US" w:bidi="ar-SA"/>
                    </w:rPr>
                    <w:t xml:space="preserve"> (</w:t>
                  </w:r>
                  <w:r>
                    <w:rPr>
                      <w:color w:val="auto"/>
                      <w:sz w:val="24"/>
                      <w:szCs w:val="24"/>
                      <w:lang w:val="ru-RU" w:eastAsia="en-US" w:bidi="ar-SA"/>
                    </w:rPr>
                    <w:t xml:space="preserve">Климатический навесной шкаф, Видеорегистратор, Жесткий диск для систем видеонаблюдения,4G роутер</w:t>
                    <w:tab/>
                    <w:t xml:space="preserve">Источник бесперебойного электропитания</w:t>
                  </w:r>
                  <w:r>
                    <w:rPr>
                      <w:color w:val="auto"/>
                      <w:sz w:val="24"/>
                      <w:szCs w:val="24"/>
                      <w:lang w:val="ru-RU" w:eastAsia="en-US" w:bidi="ar-SA"/>
                    </w:rPr>
                    <w:t xml:space="preserve">)</w:t>
                  </w:r>
                  <w:r>
                    <w:rPr>
                      <w:color w:val="auto"/>
                      <w:sz w:val="24"/>
                      <w:szCs w:val="24"/>
                      <w:lang w:val="ru-RU" w:eastAsia="en-US" w:bidi="ar-SA"/>
                    </w:rPr>
                    <w:t xml:space="preserve">, подтвержденный отчетом о функциональной проверке.</w:t>
                  </w:r>
                  <w:r>
                    <w:rPr>
                      <w:i w:val="0"/>
                      <w:iCs w:val="0"/>
                      <w:color w:val="auto"/>
                      <w:sz w:val="24"/>
                      <w:szCs w:val="24"/>
                    </w:rPr>
                  </w:r>
                  <w:r>
                    <w:rPr>
                      <w:i w:val="0"/>
                      <w:iCs w:val="0"/>
                      <w:color w:val="auto"/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82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i/>
                      <w:iCs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  <w:lang w:val="ru-RU" w:eastAsia="ru-RU" w:bidi="ar-SA"/>
                    </w:rPr>
                    <w:t xml:space="preserve">Согласие с требованием</w:t>
                  </w:r>
                  <w:r>
                    <w:rPr>
                      <w:i/>
                      <w:iCs/>
                      <w:sz w:val="24"/>
                      <w:szCs w:val="24"/>
                    </w:rPr>
                  </w:r>
                  <w:r>
                    <w:rPr>
                      <w:i/>
                      <w:iCs/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0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lang w:eastAsia="ru-RU" w:bidi="ar-SA"/>
                    </w:rPr>
                  </w:pPr>
                  <w:r>
                    <w:rPr>
                      <w:sz w:val="24"/>
                      <w:szCs w:val="24"/>
                      <w:lang w:val="en-US" w:eastAsia="ru-RU" w:bidi="ar-SA"/>
                    </w:rPr>
                    <w:t xml:space="preserve">“</w:t>
                  </w:r>
                  <w:r>
                    <w:rPr>
                      <w:sz w:val="24"/>
                      <w:szCs w:val="24"/>
                      <w:lang w:val="en-US" w:eastAsia="ru-RU" w:bidi="ar-SA"/>
                    </w:rPr>
                    <w:t xml:space="preserve">-”</w:t>
                  </w:r>
                  <w:r>
                    <w:rPr>
                      <w:lang w:eastAsia="ru-RU" w:bidi="ar-SA"/>
                    </w:rPr>
                  </w:r>
                  <w:r>
                    <w:rPr>
                      <w:lang w:eastAsia="ru-RU" w:bidi="ar-SA"/>
                    </w:rPr>
                  </w:r>
                </w:p>
              </w:tc>
              <w:tc>
                <w:tcPr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242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865"/>
                    <w:jc w:val="center"/>
                    <w:spacing w:before="0" w:after="0"/>
                    <w:widowControl/>
                    <w:rPr>
                      <w:b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b/>
                      <w:sz w:val="24"/>
                      <w:szCs w:val="24"/>
                      <w:lang w:val="ru-RU" w:eastAsia="ru-RU" w:bidi="ar-SA"/>
                    </w:rPr>
                  </w:r>
                  <w:r>
                    <w:rPr>
                      <w:b/>
                      <w:sz w:val="24"/>
                      <w:szCs w:val="24"/>
                      <w:lang w:val="ru-RU" w:eastAsia="ru-RU" w:bidi="ar-SA"/>
                    </w:rPr>
                  </w:r>
                  <w:r>
                    <w:rPr>
                      <w:b/>
                      <w:sz w:val="24"/>
                      <w:szCs w:val="24"/>
                      <w:lang w:val="ru-RU" w:eastAsia="ru-RU" w:bidi="ar-SA"/>
                    </w:rPr>
                  </w:r>
                </w:p>
              </w:tc>
            </w:tr>
          </w:tbl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</w:tbl>
    <w:p>
      <w:pPr>
        <w:pStyle w:val="865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tbl>
      <w:tblPr>
        <w:tblW w:w="15166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7"/>
        <w:gridCol w:w="4752"/>
        <w:gridCol w:w="1287"/>
        <w:gridCol w:w="2973"/>
        <w:gridCol w:w="1836"/>
        <w:gridCol w:w="4260"/>
      </w:tblGrid>
      <w:tr>
        <w:tblPrEx/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165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3.    Требования к документации по ценообразованию на этапе закупки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165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b w:val="0"/>
                <w:i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отсутствуют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9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09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60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05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4.    Требования к документации по ценообразованию на этапе заключения (исполнения) договора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60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165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b w:val="0"/>
                <w:i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отсутствуют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9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09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60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96" w:type="dxa"/>
            <w:vAlign w:val="center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0"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5.    Приложения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09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60" w:type="dxa"/>
            <w:vAlign w:val="bottom"/>
            <w:textDirection w:val="lrTb"/>
            <w:noWrap w:val="false"/>
          </w:tcPr>
          <w:p>
            <w:pPr>
              <w:pStyle w:val="865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788"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165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b w:val="0"/>
                <w:i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Приложение №1 к Техническим требованиям – Таблица 1.1 - Технические, функциональные характеристики (потребительские свойства), количественные, качественные характеристики продукции"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108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b w:val="0"/>
                <w:i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Приложение №2 к Техническим требованиям - "</w:t>
            </w:r>
            <w:r>
              <w:rPr>
                <w:b w:val="0"/>
                <w:bCs w:val="0"/>
                <w:i/>
                <w:iCs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Реквизиты грузополучателей</w:t>
            </w:r>
            <w:r>
              <w:rPr>
                <w:rFonts w:eastAsia="Times New Roman" w:cs="Times New Roman"/>
                <w:b w:val="0"/>
                <w:i/>
                <w:strike w:val="0"/>
                <w:color w:val="000000"/>
                <w:position w:val="0"/>
                <w:sz w:val="24"/>
                <w:u w:val="none"/>
                <w:vertAlign w:val="baseline"/>
                <w:lang w:val="ru-RU" w:eastAsia="ru-RU" w:bidi="ar-SA"/>
              </w:rPr>
              <w:t xml:space="preserve">"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9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09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60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9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09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60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39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09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60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101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09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60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1836" w:type="dxa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260" w:type="dxa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  <w:tr>
        <w:tblPrEx/>
        <w:trPr>
          <w:trHeight w:val="78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" w:type="dxa"/>
            <w:vAlign w:val="bottom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752" w:type="dxa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1287" w:type="dxa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2973" w:type="dxa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1836" w:type="dxa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right w:w="108" w:type="dxa"/>
            </w:tcMar>
            <w:tcW w:w="4260" w:type="dxa"/>
            <w:textDirection w:val="lrTb"/>
            <w:noWrap w:val="false"/>
          </w:tcPr>
          <w:p>
            <w:pPr>
              <w:pStyle w:val="865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</w:tr>
    </w:tbl>
    <w:p>
      <w:pPr>
        <w:pStyle w:val="865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865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65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38" w:h="11906" w:orient="landscape"/>
      <w:pgMar w:top="737" w:right="1134" w:bottom="1276" w:left="1275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Tahoma">
    <w:panose1 w:val="020B0604030504040204"/>
  </w:font>
  <w:font w:name="Noto Sans CJK SC">
    <w:panose1 w:val="020B0502040504020204"/>
  </w:font>
  <w:font w:name="Cambria">
    <w:panose1 w:val="02040803050406030204"/>
  </w:font>
  <w:font w:name="Calibri">
    <w:panose1 w:val="020F0502020204030204"/>
  </w:font>
  <w:font w:name="Batang">
    <w:panose1 w:val="02000603000000000000"/>
  </w:font>
  <w:font w:name="Liberation Sans">
    <w:panose1 w:val="020B0604020202020204"/>
  </w:font>
  <w:font w:name="Wingdings">
    <w:panose1 w:val="05010000000000000000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11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56"/>
                            <w:rPr>
                              <w:rStyle w:val="89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0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898"/>
                            </w:rPr>
                            <w:fldChar w:fldCharType="begin"/>
                          </w:r>
                          <w:r>
                            <w:rPr>
                              <w:rStyle w:val="898"/>
                            </w:rPr>
                            <w:instrText xml:space="preserve"> PAGE </w:instrText>
                          </w:r>
                          <w:r>
                            <w:rPr>
                              <w:rStyle w:val="898"/>
                            </w:rPr>
                            <w:fldChar w:fldCharType="separate"/>
                          </w:r>
                          <w:r>
                            <w:rPr>
                              <w:rStyle w:val="898"/>
                            </w:rPr>
                            <w:t xml:space="preserve">0</w:t>
                          </w:r>
                          <w:r>
                            <w:rPr>
                              <w:rStyle w:val="898"/>
                            </w:rPr>
                            <w:fldChar w:fldCharType="end"/>
                          </w:r>
                          <w:r>
                            <w:rPr>
                              <w:rStyle w:val="898"/>
                            </w:rPr>
                          </w:r>
                          <w:r>
                            <w:rPr>
                              <w:rStyle w:val="898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0;o:allowoverlap:true;o:allowincell:tru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56"/>
                      <w:rPr>
                        <w:rStyle w:val="898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0</w:t>
                    </w:r>
                    <w:r>
                      <w:fldChar w:fldCharType="end"/>
                    </w:r>
                    <w:r>
                      <w:rPr>
                        <w:rStyle w:val="898"/>
                      </w:rPr>
                      <w:fldChar w:fldCharType="begin"/>
                    </w:r>
                    <w:r>
                      <w:rPr>
                        <w:rStyle w:val="898"/>
                      </w:rPr>
                      <w:instrText xml:space="preserve"> PAGE </w:instrText>
                    </w:r>
                    <w:r>
                      <w:rPr>
                        <w:rStyle w:val="898"/>
                      </w:rPr>
                      <w:fldChar w:fldCharType="separate"/>
                    </w:r>
                    <w:r>
                      <w:rPr>
                        <w:rStyle w:val="898"/>
                      </w:rPr>
                      <w:t xml:space="preserve">0</w:t>
                    </w:r>
                    <w:r>
                      <w:rPr>
                        <w:rStyle w:val="898"/>
                      </w:rPr>
                      <w:fldChar w:fldCharType="end"/>
                    </w:r>
                    <w:r>
                      <w:rPr>
                        <w:rStyle w:val="898"/>
                      </w:rPr>
                    </w:r>
                    <w:r>
                      <w:rPr>
                        <w:rStyle w:val="898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4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49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990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991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989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868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1000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1001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1004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1002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100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007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  <w:tabs>
          <w:tab w:val="num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3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4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4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5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5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5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5" w:default="1">
    <w:name w:val="Normal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8"/>
      <w:szCs w:val="28"/>
      <w:lang w:val="ru-RU" w:eastAsia="ru-RU" w:bidi="ar-SA"/>
    </w:rPr>
  </w:style>
  <w:style w:type="paragraph" w:styleId="866">
    <w:name w:val="Heading 1"/>
    <w:basedOn w:val="868"/>
    <w:qFormat/>
    <w:pPr>
      <w:numPr>
        <w:ilvl w:val="0"/>
      </w:numPr>
      <w:outlineLvl w:val="0"/>
    </w:pPr>
    <w:rPr>
      <w:sz w:val="28"/>
      <w:szCs w:val="28"/>
    </w:rPr>
  </w:style>
  <w:style w:type="paragraph" w:styleId="867">
    <w:name w:val="Heading 2"/>
    <w:basedOn w:val="869"/>
    <w:qFormat/>
    <w:pPr>
      <w:outlineLvl w:val="1"/>
    </w:pPr>
  </w:style>
  <w:style w:type="paragraph" w:styleId="868">
    <w:name w:val="Heading 3"/>
    <w:basedOn w:val="865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69">
    <w:name w:val="Heading 4"/>
    <w:basedOn w:val="868"/>
    <w:qFormat/>
    <w:pPr>
      <w:numPr>
        <w:ilvl w:val="1"/>
      </w:numPr>
      <w:outlineLvl w:val="3"/>
    </w:pPr>
    <w:rPr>
      <w:bCs/>
    </w:rPr>
  </w:style>
  <w:style w:type="paragraph" w:styleId="870">
    <w:name w:val="Heading 5"/>
    <w:basedOn w:val="86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71">
    <w:name w:val="Heading 6"/>
    <w:basedOn w:val="865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72">
    <w:name w:val="Heading 7"/>
    <w:basedOn w:val="865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73">
    <w:name w:val="Heading 8"/>
    <w:basedOn w:val="865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874">
    <w:name w:val="Heading 9"/>
    <w:basedOn w:val="86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75" w:default="1">
    <w:name w:val="Default Paragraph Font"/>
    <w:uiPriority w:val="1"/>
    <w:semiHidden/>
    <w:unhideWhenUsed/>
    <w:qFormat/>
  </w:style>
  <w:style w:type="character" w:styleId="876" w:customStyle="1">
    <w:name w:val="Title Char"/>
    <w:basedOn w:val="875"/>
    <w:uiPriority w:val="10"/>
    <w:qFormat/>
    <w:rPr>
      <w:sz w:val="48"/>
      <w:szCs w:val="48"/>
    </w:rPr>
  </w:style>
  <w:style w:type="character" w:styleId="877" w:customStyle="1">
    <w:name w:val="Caption Char"/>
    <w:uiPriority w:val="99"/>
    <w:qFormat/>
  </w:style>
  <w:style w:type="character" w:styleId="878" w:customStyle="1">
    <w:name w:val="Heading 1 Char"/>
    <w:basedOn w:val="875"/>
    <w:uiPriority w:val="9"/>
    <w:qFormat/>
    <w:rPr>
      <w:rFonts w:ascii="Arial" w:hAnsi="Arial" w:eastAsia="Arial" w:cs="Arial"/>
      <w:sz w:val="40"/>
      <w:szCs w:val="40"/>
    </w:rPr>
  </w:style>
  <w:style w:type="character" w:styleId="879" w:customStyle="1">
    <w:name w:val="Heading 2 Char"/>
    <w:basedOn w:val="875"/>
    <w:uiPriority w:val="9"/>
    <w:qFormat/>
    <w:rPr>
      <w:rFonts w:ascii="Arial" w:hAnsi="Arial" w:eastAsia="Arial" w:cs="Arial"/>
      <w:sz w:val="34"/>
    </w:rPr>
  </w:style>
  <w:style w:type="character" w:styleId="880" w:customStyle="1">
    <w:name w:val="Heading 3 Char"/>
    <w:basedOn w:val="875"/>
    <w:uiPriority w:val="9"/>
    <w:qFormat/>
    <w:rPr>
      <w:rFonts w:ascii="Arial" w:hAnsi="Arial" w:eastAsia="Arial" w:cs="Arial"/>
      <w:sz w:val="30"/>
      <w:szCs w:val="30"/>
    </w:rPr>
  </w:style>
  <w:style w:type="character" w:styleId="881" w:customStyle="1">
    <w:name w:val="Heading 4 Char"/>
    <w:basedOn w:val="87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82" w:customStyle="1">
    <w:name w:val="Heading 5 Char"/>
    <w:basedOn w:val="87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83" w:customStyle="1">
    <w:name w:val="Heading 6 Char"/>
    <w:basedOn w:val="87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84" w:customStyle="1">
    <w:name w:val="Heading 7 Char"/>
    <w:basedOn w:val="87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85" w:customStyle="1">
    <w:name w:val="Heading 8 Char"/>
    <w:basedOn w:val="87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86" w:customStyle="1">
    <w:name w:val="Heading 9 Char"/>
    <w:basedOn w:val="87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87" w:customStyle="1">
    <w:name w:val="Заголовок Знак"/>
    <w:basedOn w:val="875"/>
    <w:uiPriority w:val="10"/>
    <w:qFormat/>
    <w:rPr>
      <w:sz w:val="48"/>
      <w:szCs w:val="48"/>
    </w:rPr>
  </w:style>
  <w:style w:type="character" w:styleId="888" w:customStyle="1">
    <w:name w:val="Subtitle Char"/>
    <w:basedOn w:val="875"/>
    <w:uiPriority w:val="11"/>
    <w:qFormat/>
    <w:rPr>
      <w:sz w:val="24"/>
      <w:szCs w:val="24"/>
    </w:rPr>
  </w:style>
  <w:style w:type="character" w:styleId="889" w:customStyle="1">
    <w:name w:val="Quote Char"/>
    <w:uiPriority w:val="29"/>
    <w:qFormat/>
    <w:rPr>
      <w:i/>
    </w:rPr>
  </w:style>
  <w:style w:type="character" w:styleId="890" w:customStyle="1">
    <w:name w:val="Intense Quote Char"/>
    <w:uiPriority w:val="30"/>
    <w:qFormat/>
    <w:rPr>
      <w:i/>
    </w:rPr>
  </w:style>
  <w:style w:type="character" w:styleId="891" w:customStyle="1">
    <w:name w:val="Header Char"/>
    <w:basedOn w:val="875"/>
    <w:uiPriority w:val="99"/>
    <w:qFormat/>
  </w:style>
  <w:style w:type="character" w:styleId="892" w:customStyle="1">
    <w:name w:val="Footer Char"/>
    <w:basedOn w:val="875"/>
    <w:uiPriority w:val="99"/>
    <w:qFormat/>
  </w:style>
  <w:style w:type="character" w:styleId="893" w:customStyle="1">
    <w:name w:val="Нижний колонтитул Знак"/>
    <w:uiPriority w:val="99"/>
    <w:qFormat/>
  </w:style>
  <w:style w:type="character" w:styleId="894" w:customStyle="1">
    <w:name w:val="Footnote Text Char"/>
    <w:uiPriority w:val="99"/>
    <w:qFormat/>
    <w:rPr>
      <w:sz w:val="18"/>
    </w:rPr>
  </w:style>
  <w:style w:type="character" w:styleId="895" w:customStyle="1">
    <w:name w:val="Endnote Text Char"/>
    <w:uiPriority w:val="99"/>
    <w:qFormat/>
    <w:rPr>
      <w:sz w:val="20"/>
    </w:rPr>
  </w:style>
  <w:style w:type="character" w:styleId="896">
    <w:name w:val="Символ сноски"/>
    <w:qFormat/>
    <w:rPr>
      <w:vertAlign w:val="superscript"/>
    </w:rPr>
  </w:style>
  <w:style w:type="character" w:styleId="897">
    <w:name w:val="footnote reference"/>
    <w:rPr>
      <w:vertAlign w:val="superscript"/>
    </w:rPr>
  </w:style>
  <w:style w:type="character" w:styleId="898">
    <w:name w:val="page number"/>
    <w:basedOn w:val="875"/>
    <w:qFormat/>
  </w:style>
  <w:style w:type="character" w:styleId="899">
    <w:name w:val="Hyperlink"/>
    <w:uiPriority w:val="99"/>
    <w:rPr>
      <w:color w:val="0000ff"/>
      <w:u w:val="single"/>
    </w:rPr>
  </w:style>
  <w:style w:type="character" w:styleId="900">
    <w:name w:val="annotation reference"/>
    <w:uiPriority w:val="99"/>
    <w:semiHidden/>
    <w:qFormat/>
    <w:rPr>
      <w:sz w:val="16"/>
      <w:szCs w:val="16"/>
    </w:rPr>
  </w:style>
  <w:style w:type="character" w:styleId="901">
    <w:name w:val="Strong"/>
    <w:qFormat/>
    <w:rPr>
      <w:b/>
      <w:bCs/>
    </w:rPr>
  </w:style>
  <w:style w:type="character" w:styleId="902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03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04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05" w:customStyle="1">
    <w:name w:val="Заголовок 1 Знак"/>
    <w:qFormat/>
    <w:rPr>
      <w:rFonts w:eastAsia="Calibri"/>
      <w:b/>
      <w:sz w:val="28"/>
      <w:szCs w:val="28"/>
    </w:rPr>
  </w:style>
  <w:style w:type="character" w:styleId="906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907" w:customStyle="1">
    <w:name w:val="Заголовок 3 Знак"/>
    <w:qFormat/>
    <w:rPr>
      <w:rFonts w:eastAsia="Calibri"/>
      <w:b/>
      <w:sz w:val="24"/>
      <w:szCs w:val="24"/>
    </w:rPr>
  </w:style>
  <w:style w:type="character" w:styleId="908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909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10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911" w:customStyle="1">
    <w:name w:val="Название Знак"/>
    <w:uiPriority w:val="10"/>
    <w:qFormat/>
    <w:rPr>
      <w:sz w:val="28"/>
    </w:rPr>
  </w:style>
  <w:style w:type="character" w:styleId="91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913">
    <w:name w:val="Emphasis"/>
    <w:uiPriority w:val="20"/>
    <w:qFormat/>
    <w:rPr>
      <w:i/>
      <w:iCs/>
    </w:rPr>
  </w:style>
  <w:style w:type="character" w:styleId="914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915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916">
    <w:name w:val="Subtle Emphasis"/>
    <w:uiPriority w:val="19"/>
    <w:qFormat/>
    <w:rPr>
      <w:i/>
      <w:iCs/>
      <w:color w:val="808080"/>
    </w:rPr>
  </w:style>
  <w:style w:type="character" w:styleId="917">
    <w:name w:val="Intense Emphasis"/>
    <w:uiPriority w:val="21"/>
    <w:qFormat/>
    <w:rPr>
      <w:b/>
      <w:bCs/>
      <w:i/>
      <w:iCs/>
      <w:color w:val="4f81bd"/>
    </w:rPr>
  </w:style>
  <w:style w:type="character" w:styleId="918">
    <w:name w:val="Subtle Reference"/>
    <w:uiPriority w:val="31"/>
    <w:qFormat/>
    <w:rPr>
      <w:smallCaps/>
      <w:color w:val="c0504d"/>
      <w:u w:val="single"/>
    </w:rPr>
  </w:style>
  <w:style w:type="character" w:styleId="919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20">
    <w:name w:val="Book Title"/>
    <w:uiPriority w:val="33"/>
    <w:qFormat/>
    <w:rPr>
      <w:b/>
      <w:bCs/>
      <w:smallCaps/>
      <w:spacing w:val="5"/>
    </w:rPr>
  </w:style>
  <w:style w:type="character" w:styleId="921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922" w:customStyle="1">
    <w:name w:val="Подпункт Знак1"/>
    <w:qFormat/>
    <w:rPr>
      <w:sz w:val="28"/>
    </w:rPr>
  </w:style>
  <w:style w:type="character" w:styleId="923" w:customStyle="1">
    <w:name w:val="Текст сноски Знак"/>
    <w:uiPriority w:val="99"/>
    <w:qFormat/>
  </w:style>
  <w:style w:type="character" w:styleId="924" w:customStyle="1">
    <w:name w:val="Основной текст Знак"/>
    <w:qFormat/>
    <w:rPr>
      <w:sz w:val="28"/>
      <w:szCs w:val="28"/>
    </w:rPr>
  </w:style>
  <w:style w:type="character" w:styleId="925" w:customStyle="1">
    <w:name w:val="blk"/>
    <w:qFormat/>
  </w:style>
  <w:style w:type="character" w:styleId="926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927" w:customStyle="1">
    <w:name w:val="комментарий"/>
    <w:qFormat/>
    <w:rPr>
      <w:b/>
      <w:i/>
      <w:shd w:val="clear" w:color="auto" w:fill="ffff99"/>
    </w:rPr>
  </w:style>
  <w:style w:type="character" w:styleId="928" w:customStyle="1">
    <w:name w:val="Подподпункт Знак"/>
    <w:qFormat/>
    <w:rPr>
      <w:sz w:val="26"/>
      <w:szCs w:val="26"/>
    </w:rPr>
  </w:style>
  <w:style w:type="character" w:styleId="929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930" w:customStyle="1">
    <w:name w:val="Верхний колонтитул Знак"/>
    <w:uiPriority w:val="99"/>
    <w:qFormat/>
    <w:rPr>
      <w:sz w:val="24"/>
      <w:szCs w:val="24"/>
    </w:rPr>
  </w:style>
  <w:style w:type="character" w:styleId="931" w:customStyle="1">
    <w:name w:val="Текст примечания Знак"/>
    <w:semiHidden/>
    <w:qFormat/>
  </w:style>
  <w:style w:type="character" w:styleId="932" w:customStyle="1">
    <w:name w:val="Текст концевой сноски Знак"/>
    <w:basedOn w:val="875"/>
    <w:qFormat/>
  </w:style>
  <w:style w:type="character" w:styleId="933">
    <w:name w:val="Символ концевой сноски"/>
    <w:basedOn w:val="875"/>
    <w:qFormat/>
    <w:rPr>
      <w:vertAlign w:val="superscript"/>
    </w:rPr>
  </w:style>
  <w:style w:type="character" w:styleId="934">
    <w:name w:val="endnote reference"/>
    <w:rPr>
      <w:vertAlign w:val="superscript"/>
    </w:rPr>
  </w:style>
  <w:style w:type="character" w:styleId="935" w:customStyle="1">
    <w:name w:val="Пункт2 Знак"/>
    <w:qFormat/>
    <w:rPr>
      <w:b/>
      <w:sz w:val="28"/>
    </w:rPr>
  </w:style>
  <w:style w:type="character" w:styleId="936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937" w:customStyle="1">
    <w:name w:val="Неразрешенное упоминание1"/>
    <w:basedOn w:val="875"/>
    <w:uiPriority w:val="99"/>
    <w:semiHidden/>
    <w:unhideWhenUsed/>
    <w:qFormat/>
    <w:rPr>
      <w:color w:val="605e5c"/>
      <w:shd w:val="clear" w:color="auto" w:fill="e1dfdd"/>
    </w:rPr>
  </w:style>
  <w:style w:type="character" w:styleId="938" w:customStyle="1">
    <w:name w:val="Основной текст с отступом 3 Знак"/>
    <w:qFormat/>
    <w:rPr>
      <w:sz w:val="16"/>
      <w:szCs w:val="16"/>
    </w:rPr>
  </w:style>
  <w:style w:type="character" w:styleId="939" w:customStyle="1">
    <w:name w:val="ConsNormal Знак"/>
    <w:qFormat/>
    <w:rPr>
      <w:rFonts w:ascii="Arial" w:hAnsi="Arial" w:cs="Arial"/>
      <w:sz w:val="24"/>
      <w:szCs w:val="24"/>
    </w:rPr>
  </w:style>
  <w:style w:type="paragraph" w:styleId="940">
    <w:name w:val="Заголовок"/>
    <w:basedOn w:val="865"/>
    <w:next w:val="941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941">
    <w:name w:val="Body Text"/>
    <w:basedOn w:val="865"/>
    <w:pPr>
      <w:spacing w:before="0" w:after="120"/>
    </w:pPr>
  </w:style>
  <w:style w:type="paragraph" w:styleId="942">
    <w:name w:val="List"/>
    <w:basedOn w:val="941"/>
    <w:rPr>
      <w:rFonts w:cs="Arial Unicode MS"/>
    </w:rPr>
  </w:style>
  <w:style w:type="paragraph" w:styleId="943">
    <w:name w:val="Caption"/>
    <w:basedOn w:val="865"/>
    <w:link w:val="877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44">
    <w:name w:val="Указатель"/>
    <w:basedOn w:val="865"/>
    <w:qFormat/>
    <w:pPr>
      <w:suppressLineNumbers/>
    </w:pPr>
    <w:rPr>
      <w:rFonts w:cs="Arial Unicode MS"/>
    </w:rPr>
  </w:style>
  <w:style w:type="paragraph" w:styleId="945">
    <w:name w:val="Title"/>
    <w:basedOn w:val="86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46">
    <w:name w:val="table of figures"/>
    <w:basedOn w:val="865"/>
    <w:uiPriority w:val="99"/>
    <w:unhideWhenUsed/>
    <w:qFormat/>
  </w:style>
  <w:style w:type="paragraph" w:styleId="947" w:customStyle="1">
    <w:name w:val="Название раздела инструкции"/>
    <w:basedOn w:val="865"/>
    <w:qFormat/>
    <w:pPr>
      <w:jc w:val="center"/>
    </w:pPr>
    <w:rPr>
      <w:b/>
    </w:rPr>
  </w:style>
  <w:style w:type="paragraph" w:styleId="948" w:customStyle="1">
    <w:name w:val="Раздел положения"/>
    <w:basedOn w:val="865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49" w:customStyle="1">
    <w:name w:val="Подраздел раздела положения"/>
    <w:basedOn w:val="865"/>
    <w:qFormat/>
    <w:pPr>
      <w:numPr>
        <w:ilvl w:val="1"/>
        <w:numId w:val="1"/>
      </w:numPr>
      <w:jc w:val="both"/>
      <w:spacing w:before="80" w:after="80"/>
    </w:pPr>
  </w:style>
  <w:style w:type="paragraph" w:styleId="950">
    <w:name w:val="footnote text"/>
    <w:basedOn w:val="865"/>
    <w:uiPriority w:val="99"/>
    <w:rPr>
      <w:sz w:val="20"/>
      <w:szCs w:val="20"/>
    </w:rPr>
  </w:style>
  <w:style w:type="paragraph" w:styleId="951" w:customStyle="1">
    <w:name w:val="Шапка 1"/>
    <w:basedOn w:val="865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952" w:customStyle="1">
    <w:name w:val="Шапка 2"/>
    <w:basedOn w:val="865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53" w:customStyle="1">
    <w:name w:val="Шапка 3"/>
    <w:basedOn w:val="865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4" w:customStyle="1">
    <w:name w:val="Название1"/>
    <w:basedOn w:val="865"/>
    <w:uiPriority w:val="10"/>
    <w:qFormat/>
    <w:pPr>
      <w:jc w:val="center"/>
    </w:pPr>
    <w:rPr>
      <w:sz w:val="20"/>
      <w:szCs w:val="20"/>
    </w:rPr>
  </w:style>
  <w:style w:type="paragraph" w:styleId="955">
    <w:name w:val="Колонтитул"/>
    <w:basedOn w:val="865"/>
    <w:qFormat/>
  </w:style>
  <w:style w:type="paragraph" w:styleId="956">
    <w:name w:val="Header"/>
    <w:basedOn w:val="865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7">
    <w:name w:val="Body Text Indent"/>
    <w:basedOn w:val="865"/>
    <w:pPr>
      <w:ind w:left="360" w:firstLine="0"/>
    </w:pPr>
    <w:rPr>
      <w:sz w:val="24"/>
      <w:szCs w:val="24"/>
    </w:rPr>
  </w:style>
  <w:style w:type="paragraph" w:styleId="958">
    <w:name w:val="Footer"/>
    <w:basedOn w:val="865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59">
    <w:name w:val="Body Text Indent 2"/>
    <w:basedOn w:val="865"/>
    <w:qFormat/>
    <w:pPr>
      <w:ind w:left="283" w:firstLine="0"/>
      <w:spacing w:before="0" w:after="120" w:line="480" w:lineRule="auto"/>
    </w:pPr>
  </w:style>
  <w:style w:type="paragraph" w:styleId="960">
    <w:name w:val="Body Text 3"/>
    <w:basedOn w:val="865"/>
    <w:qFormat/>
    <w:pPr>
      <w:spacing w:before="0" w:after="120"/>
    </w:pPr>
    <w:rPr>
      <w:sz w:val="16"/>
      <w:szCs w:val="16"/>
    </w:rPr>
  </w:style>
  <w:style w:type="paragraph" w:styleId="961">
    <w:name w:val="Body Text Indent 3"/>
    <w:basedOn w:val="865"/>
    <w:qFormat/>
    <w:pPr>
      <w:ind w:left="283" w:firstLine="0"/>
      <w:spacing w:before="0" w:after="120"/>
    </w:pPr>
    <w:rPr>
      <w:sz w:val="16"/>
      <w:szCs w:val="16"/>
    </w:rPr>
  </w:style>
  <w:style w:type="paragraph" w:styleId="962">
    <w:name w:val="Body Text 2"/>
    <w:basedOn w:val="865"/>
    <w:qFormat/>
    <w:pPr>
      <w:spacing w:before="0" w:after="120" w:line="480" w:lineRule="auto"/>
    </w:pPr>
  </w:style>
  <w:style w:type="paragraph" w:styleId="963">
    <w:name w:val="Block Text"/>
    <w:basedOn w:val="865"/>
    <w:qFormat/>
    <w:pPr>
      <w:ind w:left="-567" w:right="-766" w:firstLine="0"/>
      <w:jc w:val="center"/>
    </w:pPr>
    <w:rPr>
      <w:b/>
      <w:bCs/>
      <w:sz w:val="24"/>
      <w:szCs w:val="20"/>
    </w:rPr>
  </w:style>
  <w:style w:type="paragraph" w:styleId="964" w:customStyle="1">
    <w:name w:val="Подпункт"/>
    <w:basedOn w:val="865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 w:val="20"/>
      <w:szCs w:val="20"/>
    </w:rPr>
  </w:style>
  <w:style w:type="paragraph" w:styleId="965" w:customStyle="1">
    <w:name w:val="Пункт2"/>
    <w:basedOn w:val="865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 w:val="20"/>
      <w:szCs w:val="20"/>
    </w:rPr>
  </w:style>
  <w:style w:type="paragraph" w:styleId="966">
    <w:name w:val="toc 1"/>
    <w:basedOn w:val="865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967">
    <w:name w:val="toc 3"/>
    <w:basedOn w:val="865"/>
    <w:uiPriority w:val="39"/>
    <w:pPr>
      <w:ind w:left="280" w:firstLine="0"/>
    </w:pPr>
    <w:rPr>
      <w:rFonts w:cs="Calibri" w:cstheme="minorHAnsi"/>
      <w:sz w:val="20"/>
      <w:szCs w:val="20"/>
    </w:rPr>
  </w:style>
  <w:style w:type="paragraph" w:styleId="968" w:customStyle="1">
    <w:name w:val="Раздел регламента"/>
    <w:basedOn w:val="865"/>
    <w:qFormat/>
  </w:style>
  <w:style w:type="paragraph" w:styleId="969" w:customStyle="1">
    <w:name w:val="Приложение к регламенту"/>
    <w:basedOn w:val="865"/>
    <w:qFormat/>
    <w:pPr>
      <w:jc w:val="right"/>
    </w:pPr>
  </w:style>
  <w:style w:type="paragraph" w:styleId="970">
    <w:name w:val="toc 2"/>
    <w:basedOn w:val="865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971">
    <w:name w:val="Balloon Text"/>
    <w:basedOn w:val="865"/>
    <w:semiHidden/>
    <w:qFormat/>
    <w:rPr>
      <w:rFonts w:ascii="Tahoma" w:hAnsi="Tahoma" w:cs="Tahoma"/>
      <w:sz w:val="16"/>
      <w:szCs w:val="16"/>
    </w:rPr>
  </w:style>
  <w:style w:type="paragraph" w:styleId="972">
    <w:name w:val="annotation text"/>
    <w:basedOn w:val="865"/>
    <w:semiHidden/>
    <w:qFormat/>
    <w:rPr>
      <w:sz w:val="20"/>
      <w:szCs w:val="20"/>
    </w:rPr>
  </w:style>
  <w:style w:type="paragraph" w:styleId="973">
    <w:name w:val="annotation subject"/>
    <w:basedOn w:val="972"/>
    <w:semiHidden/>
    <w:qFormat/>
    <w:rPr>
      <w:b/>
      <w:bCs/>
    </w:rPr>
  </w:style>
  <w:style w:type="paragraph" w:styleId="974" w:customStyle="1">
    <w:name w:val="Обычный (веб)1"/>
    <w:basedOn w:val="865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75">
    <w:name w:val="toc 9"/>
    <w:basedOn w:val="865"/>
    <w:semiHidden/>
    <w:pPr>
      <w:ind w:left="196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76">
    <w:name w:val="toc 5"/>
    <w:basedOn w:val="865"/>
    <w:semiHidden/>
    <w:pPr>
      <w:ind w:left="84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77">
    <w:name w:val="toc 4"/>
    <w:basedOn w:val="865"/>
    <w:uiPriority w:val="39"/>
    <w:pPr>
      <w:ind w:left="560" w:firstLine="0"/>
    </w:pPr>
    <w:rPr>
      <w:rFonts w:cs="Calibri" w:cstheme="minorHAnsi"/>
      <w:sz w:val="20"/>
      <w:szCs w:val="20"/>
    </w:rPr>
  </w:style>
  <w:style w:type="paragraph" w:styleId="978" w:customStyle="1">
    <w:name w:val="Раздел положения 2"/>
    <w:basedOn w:val="865"/>
    <w:qFormat/>
    <w:pPr>
      <w:jc w:val="both"/>
      <w:pageBreakBefore/>
      <w:outlineLvl w:val="0"/>
    </w:pPr>
    <w:rPr>
      <w:b/>
    </w:rPr>
  </w:style>
  <w:style w:type="paragraph" w:styleId="979" w:customStyle="1">
    <w:name w:val="Знак Знак Знак Знак Знак Знак Знак Знак Знак"/>
    <w:basedOn w:val="865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80">
    <w:name w:val="No Spacing"/>
    <w:basedOn w:val="865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81">
    <w:name w:val="Subtitle"/>
    <w:basedOn w:val="865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82">
    <w:name w:val="List Paragraph"/>
    <w:basedOn w:val="865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983">
    <w:name w:val="Quote"/>
    <w:basedOn w:val="865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84">
    <w:name w:val="Intense Quote"/>
    <w:basedOn w:val="865"/>
    <w:uiPriority w:val="30"/>
    <w:qFormat/>
    <w:pPr>
      <w:ind w:left="936" w:right="936" w:firstLine="0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85">
    <w:name w:val="Index Heading"/>
    <w:basedOn w:val="940"/>
  </w:style>
  <w:style w:type="paragraph" w:styleId="986">
    <w:name w:val="TOC Heading"/>
    <w:basedOn w:val="866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987">
    <w:name w:val="E-mail Signature"/>
    <w:basedOn w:val="865"/>
    <w:uiPriority w:val="99"/>
    <w:unhideWhenUsed/>
    <w:qFormat/>
    <w:rPr>
      <w:rFonts w:eastAsia="Calibri"/>
      <w:sz w:val="24"/>
      <w:szCs w:val="24"/>
    </w:rPr>
  </w:style>
  <w:style w:type="paragraph" w:styleId="988" w:customStyle="1">
    <w:name w:val="Знак"/>
    <w:basedOn w:val="86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9" w:customStyle="1">
    <w:name w:val="Нумерованный список ур3"/>
    <w:basedOn w:val="865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90" w:customStyle="1">
    <w:name w:val="List 3"/>
    <w:basedOn w:val="865"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91" w:customStyle="1">
    <w:name w:val="Нумерованный список ур2"/>
    <w:basedOn w:val="865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92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Arial Unicode MS"/>
      <w:color w:val="auto"/>
      <w:sz w:val="24"/>
      <w:szCs w:val="24"/>
      <w:lang w:val="ru-RU" w:eastAsia="ru-RU" w:bidi="ar-SA"/>
    </w:rPr>
  </w:style>
  <w:style w:type="paragraph" w:styleId="993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Noto Serif CJK SC" w:cs="Arial"/>
      <w:color w:val="auto"/>
      <w:sz w:val="20"/>
      <w:szCs w:val="20"/>
      <w:lang w:val="ru-RU" w:eastAsia="ru-RU" w:bidi="ar-SA"/>
    </w:rPr>
  </w:style>
  <w:style w:type="paragraph" w:styleId="994" w:customStyle="1">
    <w:name w:val="Знак Знак3 Знак Знак"/>
    <w:basedOn w:val="865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95" w:customStyle="1">
    <w:name w:val="Пункт"/>
    <w:basedOn w:val="865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 w:val="20"/>
      <w:szCs w:val="20"/>
    </w:rPr>
  </w:style>
  <w:style w:type="paragraph" w:styleId="996" w:customStyle="1">
    <w:name w:val="Абзац списка1"/>
    <w:basedOn w:val="865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97" w:customStyle="1">
    <w:name w:val="Таблица"/>
    <w:basedOn w:val="865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998" w:customStyle="1">
    <w:name w:val="Таблица шапка"/>
    <w:basedOn w:val="865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999" w:customStyle="1">
    <w:name w:val="Подподпункт"/>
    <w:basedOn w:val="964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1000" w:customStyle="1">
    <w:name w:val="УРОВЕНЬ_(а)"/>
    <w:basedOn w:val="982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1001" w:customStyle="1">
    <w:name w:val="УРОВЕНЬ_-"/>
    <w:basedOn w:val="982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1002" w:customStyle="1">
    <w:name w:val="УРОВЕНЬ_Абзац_тип2"/>
    <w:basedOn w:val="982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03" w:customStyle="1">
    <w:name w:val="УРОВЕНЬ_Абзац_тип3"/>
    <w:basedOn w:val="982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04" w:customStyle="1">
    <w:name w:val="УРОВЕНЬ_Подпись"/>
    <w:basedOn w:val="982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005" w:customStyle="1">
    <w:name w:val="Стиль Заголовок 1 + по ширине"/>
    <w:basedOn w:val="866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1006">
    <w:name w:val="endnote text"/>
    <w:basedOn w:val="865"/>
    <w:rPr>
      <w:sz w:val="20"/>
      <w:szCs w:val="20"/>
    </w:rPr>
  </w:style>
  <w:style w:type="paragraph" w:styleId="1007" w:customStyle="1">
    <w:name w:val="Заголовок 2 КВВ"/>
    <w:basedOn w:val="865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008" w:customStyle="1">
    <w:name w:val="Таблица текст"/>
    <w:basedOn w:val="865"/>
    <w:qFormat/>
    <w:pPr>
      <w:ind w:left="57" w:right="57" w:firstLine="0"/>
      <w:spacing w:before="40" w:after="40"/>
    </w:pPr>
    <w:rPr>
      <w:sz w:val="24"/>
      <w:szCs w:val="26"/>
    </w:rPr>
  </w:style>
  <w:style w:type="paragraph" w:styleId="1009">
    <w:name w:val="Normal (Web)"/>
    <w:basedOn w:val="865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010" w:customStyle="1">
    <w:name w:val="УРОВЕНЬ_1."/>
    <w:basedOn w:val="982"/>
    <w:qFormat/>
    <w:pPr>
      <w:contextualSpacing w:val="0"/>
      <w:ind w:left="0" w:firstLine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011">
    <w:name w:val="toc 6"/>
    <w:basedOn w:val="865"/>
    <w:unhideWhenUsed/>
    <w:pPr>
      <w:ind w:left="112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12">
    <w:name w:val="toc 7"/>
    <w:basedOn w:val="865"/>
    <w:unhideWhenUsed/>
    <w:pPr>
      <w:ind w:left="140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13">
    <w:name w:val="toc 8"/>
    <w:basedOn w:val="865"/>
    <w:unhideWhenUsed/>
    <w:pPr>
      <w:ind w:left="1680" w:firstLine="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14" w:customStyle="1">
    <w:name w:val="ConsNormal"/>
    <w:qFormat/>
    <w:pPr>
      <w:ind w:firstLine="720"/>
      <w:jc w:val="left"/>
      <w:spacing w:before="0" w:after="0"/>
      <w:widowControl/>
    </w:pPr>
    <w:rPr>
      <w:rFonts w:ascii="Arial" w:hAnsi="Arial" w:eastAsia="Noto Serif CJK SC" w:cs="Arial"/>
      <w:color w:val="auto"/>
      <w:sz w:val="24"/>
      <w:szCs w:val="24"/>
      <w:lang w:val="ru-RU" w:eastAsia="ru-RU" w:bidi="ar-SA"/>
    </w:rPr>
  </w:style>
  <w:style w:type="paragraph" w:styleId="1015" w:customStyle="1">
    <w:name w:val="Main 14"/>
    <w:uiPriority w:val="99"/>
    <w:qFormat/>
    <w:pPr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  <w:lang w:val="ru-RU" w:eastAsia="ko-KR" w:bidi="ar-SA"/>
      <w14:ligatures w14:val="none"/>
    </w:rPr>
  </w:style>
  <w:style w:type="paragraph" w:styleId="1016">
    <w:name w:val="Содержимое врезки"/>
    <w:basedOn w:val="865"/>
    <w:qFormat/>
  </w:style>
  <w:style w:type="numbering" w:styleId="1017" w:default="1">
    <w:name w:val="No List"/>
    <w:uiPriority w:val="99"/>
    <w:semiHidden/>
    <w:unhideWhenUsed/>
    <w:qFormat/>
  </w:style>
  <w:style w:type="numbering" w:styleId="1018" w:customStyle="1">
    <w:name w:val="Стиль1"/>
    <w:uiPriority w:val="99"/>
    <w:qFormat/>
  </w:style>
  <w:style w:type="numbering" w:styleId="1019" w:customStyle="1">
    <w:name w:val="Стиль2"/>
    <w:uiPriority w:val="99"/>
    <w:qFormat/>
  </w:style>
  <w:style w:type="numbering" w:styleId="1020" w:customStyle="1">
    <w:name w:val="Стиль3"/>
    <w:uiPriority w:val="99"/>
    <w:qFormat/>
  </w:style>
  <w:style w:type="table" w:styleId="1021" w:default="1">
    <w:name w:val="Normal Table"/>
    <w:uiPriority w:val="99"/>
    <w:semiHidden/>
    <w:unhideWhenUsed/>
    <w:tblPr/>
  </w:style>
  <w:style w:type="character" w:styleId="1022" w:customStyle="1">
    <w:name w:val="Основной текст (2) + 10;5 pt;Курсив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z w:val="21"/>
      <w:szCs w:val="21"/>
      <w:lang w:val="ru-RU" w:bidi="ru-RU"/>
    </w:rPr>
  </w:style>
  <w:style w:type="paragraph" w:styleId="1023" w:customStyle="1">
    <w:name w:val="Основной текст (2)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108" w:lineRule="exact"/>
      <w:shd w:val="clear" w:color="auto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9"/>
      <w:szCs w:val="9"/>
      <w:highlight w:val="none"/>
      <w:u w:val="none"/>
      <w:vertAlign w:val="baseline"/>
      <w:rtl w:val="0"/>
      <w:cs w:val="0"/>
      <w:lang w:val="ru-RU" w:eastAsia="zh-CN" w:bidi="ru-RU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6F68B-9E6D-4720-95DA-6C38DBC08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fedyasheva_ig</cp:lastModifiedBy>
  <cp:revision>59</cp:revision>
  <dcterms:created xsi:type="dcterms:W3CDTF">2023-03-09T01:40:00Z</dcterms:created>
  <dcterms:modified xsi:type="dcterms:W3CDTF">2026-05-29T01:58:30Z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